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2A351" w14:textId="77777777" w:rsidR="002D0A7A" w:rsidRDefault="002D0A7A" w:rsidP="00B524E5">
      <w:pPr>
        <w:autoSpaceDE w:val="0"/>
        <w:autoSpaceDN w:val="0"/>
        <w:adjustRightInd w:val="0"/>
        <w:jc w:val="center"/>
        <w:rPr>
          <w:rFonts w:ascii="Arial" w:hAnsi="Arial" w:cs="Arial"/>
          <w:b/>
          <w:bCs/>
          <w:szCs w:val="24"/>
        </w:rPr>
      </w:pPr>
    </w:p>
    <w:p w14:paraId="77D83672" w14:textId="60C23E35" w:rsidR="00B524E5" w:rsidRPr="00B524E5" w:rsidRDefault="00822F21" w:rsidP="00B524E5">
      <w:pPr>
        <w:autoSpaceDE w:val="0"/>
        <w:autoSpaceDN w:val="0"/>
        <w:adjustRightInd w:val="0"/>
        <w:jc w:val="center"/>
        <w:rPr>
          <w:sz w:val="40"/>
          <w:szCs w:val="28"/>
        </w:rPr>
      </w:pPr>
      <w:r w:rsidRPr="00822F21">
        <w:rPr>
          <w:rFonts w:ascii="Arial" w:hAnsi="Arial" w:cs="Arial"/>
          <w:b/>
          <w:bCs/>
          <w:color w:val="C45911" w:themeColor="accent2" w:themeShade="BF"/>
          <w:szCs w:val="24"/>
        </w:rPr>
        <w:t>Anexo 3</w:t>
      </w:r>
      <w:r w:rsidRPr="00822F21">
        <w:rPr>
          <w:rFonts w:ascii="Arial" w:hAnsi="Arial" w:cs="Arial"/>
          <w:b/>
          <w:bCs/>
          <w:color w:val="538135" w:themeColor="accent6" w:themeShade="BF"/>
          <w:szCs w:val="24"/>
        </w:rPr>
        <w:t xml:space="preserve"> </w:t>
      </w:r>
      <w:r>
        <w:rPr>
          <w:rFonts w:ascii="Arial" w:hAnsi="Arial" w:cs="Arial"/>
          <w:b/>
          <w:bCs/>
          <w:szCs w:val="24"/>
        </w:rPr>
        <w:t xml:space="preserve">MATRIZ </w:t>
      </w:r>
      <w:r w:rsidR="00B524E5" w:rsidRPr="00B524E5">
        <w:rPr>
          <w:rFonts w:ascii="Arial" w:hAnsi="Arial" w:cs="Arial"/>
          <w:b/>
          <w:bCs/>
          <w:szCs w:val="24"/>
        </w:rPr>
        <w:t>INFORMES</w:t>
      </w:r>
      <w:r>
        <w:rPr>
          <w:rFonts w:ascii="Arial" w:hAnsi="Arial" w:cs="Arial"/>
          <w:b/>
          <w:bCs/>
          <w:szCs w:val="24"/>
        </w:rPr>
        <w:t xml:space="preserve"> Y SEGUIMIENTOS</w:t>
      </w:r>
      <w:r w:rsidR="00B524E5" w:rsidRPr="00B524E5">
        <w:rPr>
          <w:rFonts w:ascii="Arial" w:hAnsi="Arial" w:cs="Arial"/>
          <w:b/>
          <w:bCs/>
          <w:szCs w:val="24"/>
        </w:rPr>
        <w:t xml:space="preserve"> A CARGO DE LA OFICINA DE CONTROL INTERNO</w:t>
      </w:r>
      <w:r>
        <w:rPr>
          <w:rFonts w:ascii="Arial" w:hAnsi="Arial" w:cs="Arial"/>
          <w:b/>
          <w:bCs/>
          <w:szCs w:val="24"/>
        </w:rPr>
        <w:t xml:space="preserve"> O QUIEN HAGA SUS VECES</w:t>
      </w:r>
    </w:p>
    <w:p w14:paraId="6DF906D8" w14:textId="77777777" w:rsidR="00B524E5" w:rsidRDefault="00B524E5"/>
    <w:tbl>
      <w:tblPr>
        <w:tblW w:w="18716" w:type="dxa"/>
        <w:tblInd w:w="-5" w:type="dxa"/>
        <w:tblBorders>
          <w:top w:val="thinThickSmallGap" w:sz="24" w:space="0" w:color="A5A5A5" w:themeColor="accent3"/>
          <w:left w:val="thinThickSmallGap" w:sz="24" w:space="0" w:color="A5A5A5" w:themeColor="accent3"/>
          <w:bottom w:val="thinThickSmallGap" w:sz="24" w:space="0" w:color="A5A5A5" w:themeColor="accent3"/>
          <w:right w:val="thinThickSmallGap" w:sz="24" w:space="0" w:color="A5A5A5" w:themeColor="accent3"/>
          <w:insideH w:val="thinThickSmallGap" w:sz="24" w:space="0" w:color="A5A5A5" w:themeColor="accent3"/>
          <w:insideV w:val="thinThickSmallGap" w:sz="24" w:space="0" w:color="A5A5A5" w:themeColor="accent3"/>
        </w:tblBorders>
        <w:tblLayout w:type="fixed"/>
        <w:tblCellMar>
          <w:left w:w="70" w:type="dxa"/>
          <w:right w:w="70" w:type="dxa"/>
        </w:tblCellMar>
        <w:tblLook w:val="04A0" w:firstRow="1" w:lastRow="0" w:firstColumn="1" w:lastColumn="0" w:noHBand="0" w:noVBand="1"/>
      </w:tblPr>
      <w:tblGrid>
        <w:gridCol w:w="18716"/>
      </w:tblGrid>
      <w:tr w:rsidR="0013187D" w:rsidRPr="003E681F" w14:paraId="4565B374" w14:textId="77777777" w:rsidTr="00B22A3B">
        <w:trPr>
          <w:trHeight w:val="495"/>
          <w:tblHeader/>
        </w:trPr>
        <w:tc>
          <w:tcPr>
            <w:tcW w:w="18716" w:type="dxa"/>
            <w:vAlign w:val="center"/>
          </w:tcPr>
          <w:p w14:paraId="4565B373" w14:textId="4DE91A98" w:rsidR="0013187D" w:rsidRPr="003E681F" w:rsidRDefault="0013187D" w:rsidP="007426B9">
            <w:pPr>
              <w:autoSpaceDE w:val="0"/>
              <w:autoSpaceDN w:val="0"/>
              <w:adjustRightInd w:val="0"/>
              <w:jc w:val="both"/>
              <w:rPr>
                <w:rFonts w:ascii="Arial" w:hAnsi="Arial" w:cs="Arial"/>
                <w:sz w:val="22"/>
              </w:rPr>
            </w:pPr>
            <w:r w:rsidRPr="003E681F">
              <w:rPr>
                <w:rFonts w:ascii="Arial" w:hAnsi="Arial" w:cs="Arial"/>
                <w:sz w:val="22"/>
              </w:rPr>
              <w:t xml:space="preserve">Fecha Actualización: </w:t>
            </w:r>
            <w:r w:rsidR="00116261" w:rsidRPr="00116261">
              <w:rPr>
                <w:rFonts w:ascii="Arial" w:hAnsi="Arial" w:cs="Arial"/>
                <w:sz w:val="22"/>
              </w:rPr>
              <w:t>Noviembre</w:t>
            </w:r>
            <w:r w:rsidR="00492279">
              <w:rPr>
                <w:rFonts w:ascii="Arial" w:hAnsi="Arial" w:cs="Arial"/>
                <w:sz w:val="22"/>
              </w:rPr>
              <w:t xml:space="preserve"> de 2025</w:t>
            </w:r>
          </w:p>
        </w:tc>
      </w:tr>
    </w:tbl>
    <w:p w14:paraId="68728EB7" w14:textId="77777777" w:rsidR="00485ECB" w:rsidRDefault="00485ECB"/>
    <w:tbl>
      <w:tblPr>
        <w:tblStyle w:val="Tabladelista2"/>
        <w:tblW w:w="18725" w:type="dxa"/>
        <w:tblLayout w:type="fixed"/>
        <w:tblLook w:val="04A0" w:firstRow="1" w:lastRow="0" w:firstColumn="1" w:lastColumn="0" w:noHBand="0" w:noVBand="1"/>
      </w:tblPr>
      <w:tblGrid>
        <w:gridCol w:w="1985"/>
        <w:gridCol w:w="1423"/>
        <w:gridCol w:w="2821"/>
        <w:gridCol w:w="1560"/>
        <w:gridCol w:w="3916"/>
        <w:gridCol w:w="1620"/>
        <w:gridCol w:w="5400"/>
      </w:tblGrid>
      <w:tr w:rsidR="00623640" w:rsidRPr="00F05FB8" w14:paraId="4565B37C" w14:textId="77777777" w:rsidTr="00B22A3B">
        <w:trPr>
          <w:cnfStyle w:val="100000000000" w:firstRow="1" w:lastRow="0" w:firstColumn="0" w:lastColumn="0" w:oddVBand="0" w:evenVBand="0" w:oddHBand="0" w:evenHBand="0" w:firstRowFirstColumn="0" w:firstRowLastColumn="0" w:lastRowFirstColumn="0" w:lastRowLastColumn="0"/>
          <w:trHeight w:val="488"/>
          <w:tblHeader/>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vAlign w:val="center"/>
          </w:tcPr>
          <w:p w14:paraId="3F64C6CA" w14:textId="77777777" w:rsidR="00623640" w:rsidRPr="00F05FB8" w:rsidRDefault="00623640" w:rsidP="00B06FF1">
            <w:pPr>
              <w:autoSpaceDE w:val="0"/>
              <w:autoSpaceDN w:val="0"/>
              <w:adjustRightInd w:val="0"/>
              <w:jc w:val="both"/>
              <w:rPr>
                <w:rFonts w:ascii="Arial" w:hAnsi="Arial" w:cs="Arial"/>
                <w:b w:val="0"/>
                <w:bCs w:val="0"/>
                <w:sz w:val="18"/>
                <w:szCs w:val="18"/>
              </w:rPr>
            </w:pPr>
          </w:p>
        </w:tc>
        <w:tc>
          <w:tcPr>
            <w:tcW w:w="1423" w:type="dxa"/>
            <w:tcBorders>
              <w:top w:val="double" w:sz="4" w:space="0" w:color="auto"/>
              <w:bottom w:val="dotted" w:sz="4" w:space="0" w:color="auto"/>
            </w:tcBorders>
            <w:vAlign w:val="center"/>
            <w:hideMark/>
          </w:tcPr>
          <w:p w14:paraId="4565B377" w14:textId="53675CED" w:rsidR="00623640" w:rsidRPr="00F05FB8" w:rsidRDefault="00623640" w:rsidP="00B06FF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F05FB8">
              <w:rPr>
                <w:rFonts w:ascii="Arial" w:hAnsi="Arial" w:cs="Arial"/>
                <w:sz w:val="18"/>
                <w:szCs w:val="18"/>
              </w:rPr>
              <w:t>INFORMES</w:t>
            </w:r>
          </w:p>
        </w:tc>
        <w:tc>
          <w:tcPr>
            <w:tcW w:w="2821" w:type="dxa"/>
            <w:tcBorders>
              <w:top w:val="double" w:sz="4" w:space="0" w:color="auto"/>
              <w:bottom w:val="dotted" w:sz="4" w:space="0" w:color="auto"/>
            </w:tcBorders>
            <w:vAlign w:val="center"/>
            <w:hideMark/>
          </w:tcPr>
          <w:p w14:paraId="4565B378" w14:textId="77777777" w:rsidR="00623640" w:rsidRPr="004A4E40" w:rsidRDefault="00623640" w:rsidP="00B06FF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4A4E40">
              <w:rPr>
                <w:rFonts w:ascii="Arial" w:hAnsi="Arial" w:cs="Arial"/>
                <w:sz w:val="18"/>
                <w:szCs w:val="18"/>
              </w:rPr>
              <w:t>NORMA</w:t>
            </w:r>
          </w:p>
        </w:tc>
        <w:tc>
          <w:tcPr>
            <w:tcW w:w="1560" w:type="dxa"/>
            <w:tcBorders>
              <w:top w:val="double" w:sz="4" w:space="0" w:color="auto"/>
              <w:bottom w:val="dotted" w:sz="4" w:space="0" w:color="auto"/>
            </w:tcBorders>
            <w:vAlign w:val="center"/>
            <w:hideMark/>
          </w:tcPr>
          <w:p w14:paraId="4565B379" w14:textId="77777777" w:rsidR="00623640" w:rsidRPr="00F05FB8" w:rsidRDefault="00623640" w:rsidP="00B2520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F05FB8">
              <w:rPr>
                <w:rFonts w:ascii="Arial" w:hAnsi="Arial" w:cs="Arial"/>
                <w:sz w:val="18"/>
                <w:szCs w:val="18"/>
              </w:rPr>
              <w:t>PERIODICIDAD</w:t>
            </w:r>
          </w:p>
        </w:tc>
        <w:tc>
          <w:tcPr>
            <w:tcW w:w="3916" w:type="dxa"/>
            <w:tcBorders>
              <w:top w:val="double" w:sz="4" w:space="0" w:color="auto"/>
              <w:bottom w:val="dotted" w:sz="4" w:space="0" w:color="auto"/>
            </w:tcBorders>
            <w:vAlign w:val="center"/>
          </w:tcPr>
          <w:p w14:paraId="7FF90B9F" w14:textId="7526931D" w:rsidR="00623640" w:rsidRPr="00F05FB8" w:rsidRDefault="00623640" w:rsidP="00B06FF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F05FB8">
              <w:rPr>
                <w:rFonts w:ascii="Arial" w:hAnsi="Arial" w:cs="Arial"/>
                <w:sz w:val="18"/>
                <w:szCs w:val="18"/>
              </w:rPr>
              <w:t>TERMINO</w:t>
            </w:r>
          </w:p>
        </w:tc>
        <w:tc>
          <w:tcPr>
            <w:tcW w:w="1620" w:type="dxa"/>
            <w:tcBorders>
              <w:top w:val="double" w:sz="4" w:space="0" w:color="auto"/>
              <w:bottom w:val="dotted" w:sz="4" w:space="0" w:color="auto"/>
            </w:tcBorders>
            <w:vAlign w:val="center"/>
            <w:hideMark/>
          </w:tcPr>
          <w:p w14:paraId="4565B37A" w14:textId="69E5CF20" w:rsidR="00623640" w:rsidRPr="00F05FB8" w:rsidRDefault="00623640" w:rsidP="00B06FF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F05FB8">
              <w:rPr>
                <w:rFonts w:ascii="Arial" w:hAnsi="Arial" w:cs="Arial"/>
                <w:sz w:val="18"/>
                <w:szCs w:val="18"/>
              </w:rPr>
              <w:t>DESTINATARIO</w:t>
            </w:r>
            <w:r w:rsidR="006F768F">
              <w:rPr>
                <w:rStyle w:val="Refdenotaalpie"/>
                <w:rFonts w:ascii="Arial" w:hAnsi="Arial" w:cs="Arial"/>
                <w:sz w:val="18"/>
                <w:szCs w:val="18"/>
              </w:rPr>
              <w:footnoteReference w:id="1"/>
            </w:r>
          </w:p>
        </w:tc>
        <w:tc>
          <w:tcPr>
            <w:tcW w:w="5400" w:type="dxa"/>
            <w:tcBorders>
              <w:top w:val="double" w:sz="4" w:space="0" w:color="auto"/>
              <w:bottom w:val="dotted" w:sz="4" w:space="0" w:color="auto"/>
            </w:tcBorders>
            <w:vAlign w:val="center"/>
            <w:hideMark/>
          </w:tcPr>
          <w:p w14:paraId="4565B37B" w14:textId="77777777" w:rsidR="00623640" w:rsidRPr="00F05FB8" w:rsidRDefault="00623640" w:rsidP="00B06FF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F05FB8">
              <w:rPr>
                <w:rFonts w:ascii="Arial" w:hAnsi="Arial" w:cs="Arial"/>
                <w:sz w:val="18"/>
                <w:szCs w:val="18"/>
              </w:rPr>
              <w:t>OBSERVACIONES</w:t>
            </w:r>
          </w:p>
        </w:tc>
      </w:tr>
      <w:tr w:rsidR="001B3B1D" w:rsidRPr="00F05FB8" w14:paraId="07B66390" w14:textId="77777777" w:rsidTr="00B25209">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985" w:type="dxa"/>
            <w:vMerge w:val="restart"/>
            <w:tcBorders>
              <w:top w:val="nil"/>
              <w:right w:val="dotted" w:sz="4" w:space="0" w:color="auto"/>
            </w:tcBorders>
            <w:vAlign w:val="center"/>
          </w:tcPr>
          <w:p w14:paraId="0E796624" w14:textId="79C9BBF0" w:rsidR="001B3B1D" w:rsidRPr="00F05FB8" w:rsidRDefault="001B3B1D" w:rsidP="00B06FF1">
            <w:pPr>
              <w:autoSpaceDE w:val="0"/>
              <w:autoSpaceDN w:val="0"/>
              <w:adjustRightInd w:val="0"/>
              <w:jc w:val="both"/>
              <w:rPr>
                <w:rFonts w:ascii="Arial" w:hAnsi="Arial" w:cs="Arial"/>
                <w:sz w:val="18"/>
                <w:szCs w:val="18"/>
              </w:rPr>
            </w:pPr>
            <w:r w:rsidRPr="00F05FB8">
              <w:rPr>
                <w:rFonts w:ascii="Arial" w:hAnsi="Arial" w:cs="Arial"/>
                <w:sz w:val="18"/>
                <w:szCs w:val="18"/>
              </w:rPr>
              <w:t>Informes y otra información que</w:t>
            </w:r>
            <w:r w:rsidR="00823E03" w:rsidRPr="00F05FB8">
              <w:rPr>
                <w:rFonts w:ascii="Arial" w:hAnsi="Arial" w:cs="Arial"/>
                <w:sz w:val="18"/>
                <w:szCs w:val="18"/>
              </w:rPr>
              <w:t xml:space="preserve"> </w:t>
            </w:r>
            <w:r w:rsidRPr="00F05FB8">
              <w:rPr>
                <w:rFonts w:ascii="Arial" w:hAnsi="Arial" w:cs="Arial"/>
                <w:sz w:val="18"/>
                <w:szCs w:val="18"/>
              </w:rPr>
              <w:t xml:space="preserve">realizan los sujetos de vigilancia y control fiscal a la Contraloría General de la República a través del </w:t>
            </w:r>
            <w:r w:rsidRPr="00F05FB8">
              <w:rPr>
                <w:rFonts w:ascii="Arial" w:hAnsi="Arial" w:cs="Arial"/>
                <w:sz w:val="18"/>
                <w:szCs w:val="18"/>
                <w:u w:val="single"/>
              </w:rPr>
              <w:t>Sistema de Rendición Electrónico de la Cuenta e Informes y Otra Información (SIRECI)</w:t>
            </w:r>
          </w:p>
        </w:tc>
        <w:tc>
          <w:tcPr>
            <w:tcW w:w="1423" w:type="dxa"/>
            <w:tcBorders>
              <w:top w:val="dotted" w:sz="4" w:space="0" w:color="auto"/>
              <w:left w:val="dotted" w:sz="4" w:space="0" w:color="auto"/>
              <w:bottom w:val="dotted" w:sz="4" w:space="0" w:color="auto"/>
              <w:right w:val="dotted" w:sz="4" w:space="0" w:color="auto"/>
            </w:tcBorders>
            <w:vAlign w:val="center"/>
          </w:tcPr>
          <w:p w14:paraId="01963B93" w14:textId="69959D72"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91256">
              <w:rPr>
                <w:rFonts w:ascii="Arial" w:hAnsi="Arial" w:cs="Arial"/>
                <w:sz w:val="18"/>
                <w:szCs w:val="18"/>
              </w:rPr>
              <w:t>Rendición de la Cuenta Anual Consolidada</w:t>
            </w:r>
          </w:p>
        </w:tc>
        <w:tc>
          <w:tcPr>
            <w:tcW w:w="2821" w:type="dxa"/>
            <w:vMerge w:val="restart"/>
            <w:tcBorders>
              <w:top w:val="dotted" w:sz="4" w:space="0" w:color="auto"/>
              <w:left w:val="dotted" w:sz="4" w:space="0" w:color="auto"/>
              <w:bottom w:val="dotted" w:sz="4" w:space="0" w:color="auto"/>
              <w:right w:val="dotted" w:sz="4" w:space="0" w:color="auto"/>
            </w:tcBorders>
            <w:vAlign w:val="center"/>
          </w:tcPr>
          <w:p w14:paraId="7B781D49" w14:textId="6CDA2F12" w:rsidR="001B3B1D" w:rsidRPr="004A4E40" w:rsidRDefault="002372EC"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hyperlink r:id="rId8" w:history="1">
              <w:r w:rsidRPr="004A4E40">
                <w:rPr>
                  <w:rStyle w:val="Hipervnculo"/>
                  <w:rFonts w:ascii="Arial" w:hAnsi="Arial" w:cs="Arial"/>
                  <w:sz w:val="18"/>
                  <w:szCs w:val="18"/>
                </w:rPr>
                <w:t xml:space="preserve">Resolución orgánica N° 0066 de 2024 </w:t>
              </w:r>
              <w:r w:rsidR="00391256" w:rsidRPr="004A4E40">
                <w:rPr>
                  <w:rStyle w:val="Hipervnculo"/>
                  <w:rFonts w:ascii="Arial" w:hAnsi="Arial" w:cs="Arial"/>
                  <w:sz w:val="18"/>
                  <w:szCs w:val="18"/>
                </w:rPr>
                <w:t>“</w:t>
              </w:r>
              <w:r w:rsidRPr="004A4E40">
                <w:rPr>
                  <w:rStyle w:val="Hipervnculo"/>
                  <w:rFonts w:ascii="Arial" w:hAnsi="Arial" w:cs="Arial"/>
                  <w:bCs/>
                  <w:i/>
                  <w:iCs/>
                  <w:sz w:val="18"/>
                  <w:szCs w:val="18"/>
                  <w:lang w:val="es-MX"/>
                </w:rPr>
                <w:t>Por la cual se subroga la Resolución Reglamentaria Orgánica número </w:t>
              </w:r>
              <w:r w:rsidRPr="004A4E40">
                <w:rPr>
                  <w:rStyle w:val="Hipervnculo"/>
                  <w:rFonts w:ascii="Arial" w:hAnsi="Arial" w:cs="Arial"/>
                  <w:i/>
                  <w:iCs/>
                  <w:sz w:val="18"/>
                  <w:szCs w:val="18"/>
                  <w:lang w:val="es-MX"/>
                </w:rPr>
                <w:t>064</w:t>
              </w:r>
              <w:r w:rsidRPr="004A4E40">
                <w:rPr>
                  <w:rStyle w:val="Hipervnculo"/>
                  <w:rFonts w:ascii="Arial" w:hAnsi="Arial" w:cs="Arial"/>
                  <w:bCs/>
                  <w:i/>
                  <w:iCs/>
                  <w:sz w:val="18"/>
                  <w:szCs w:val="18"/>
                  <w:lang w:val="es-MX"/>
                </w:rPr>
                <w:t> de 2023 que reglamenta la rendición electrónica de la cuenta, los informes y otra información que realizan los sujetos de vigilancia y control fiscal de la Contraloría General de la</w:t>
              </w:r>
              <w:r w:rsidRPr="004A4E40">
                <w:rPr>
                  <w:rStyle w:val="Hipervnculo"/>
                  <w:rFonts w:ascii="Arial" w:hAnsi="Arial" w:cs="Arial"/>
                  <w:bCs/>
                  <w:sz w:val="18"/>
                  <w:szCs w:val="18"/>
                  <w:lang w:val="es-MX"/>
                </w:rPr>
                <w:t> </w:t>
              </w:r>
              <w:r w:rsidRPr="004A4E40">
                <w:rPr>
                  <w:rStyle w:val="Hipervnculo"/>
                  <w:rFonts w:ascii="Arial" w:hAnsi="Arial" w:cs="Arial"/>
                  <w:bCs/>
                  <w:i/>
                  <w:iCs/>
                  <w:sz w:val="18"/>
                  <w:szCs w:val="18"/>
                  <w:lang w:val="es-MX"/>
                </w:rPr>
                <w:t>República a través del Sistema de Rendición Electrónico de la Cuenta e Informes y Otra Información (Sireci)</w:t>
              </w:r>
              <w:r w:rsidR="00391256" w:rsidRPr="004A4E40">
                <w:rPr>
                  <w:rStyle w:val="Hipervnculo"/>
                  <w:rFonts w:ascii="Arial" w:hAnsi="Arial" w:cs="Arial"/>
                  <w:bCs/>
                  <w:i/>
                  <w:iCs/>
                  <w:sz w:val="18"/>
                  <w:szCs w:val="18"/>
                  <w:lang w:val="es-MX"/>
                </w:rPr>
                <w:t>”.</w:t>
              </w:r>
            </w:hyperlink>
          </w:p>
        </w:tc>
        <w:tc>
          <w:tcPr>
            <w:tcW w:w="1560" w:type="dxa"/>
            <w:vMerge w:val="restart"/>
            <w:tcBorders>
              <w:top w:val="dotted" w:sz="4" w:space="0" w:color="auto"/>
              <w:left w:val="dotted" w:sz="4" w:space="0" w:color="auto"/>
              <w:bottom w:val="dotted" w:sz="4" w:space="0" w:color="auto"/>
              <w:right w:val="dotted" w:sz="4" w:space="0" w:color="auto"/>
            </w:tcBorders>
            <w:vAlign w:val="center"/>
          </w:tcPr>
          <w:p w14:paraId="4A088423" w14:textId="73161981" w:rsidR="001B3B1D" w:rsidRPr="00F05FB8" w:rsidRDefault="001B3B1D" w:rsidP="00B2520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91256">
              <w:rPr>
                <w:rFonts w:ascii="Arial" w:hAnsi="Arial" w:cs="Arial"/>
                <w:b/>
                <w:sz w:val="18"/>
                <w:szCs w:val="18"/>
              </w:rPr>
              <w:t>Anual</w:t>
            </w:r>
          </w:p>
        </w:tc>
        <w:tc>
          <w:tcPr>
            <w:tcW w:w="3916" w:type="dxa"/>
            <w:tcBorders>
              <w:top w:val="dotted" w:sz="4" w:space="0" w:color="auto"/>
              <w:left w:val="dotted" w:sz="4" w:space="0" w:color="auto"/>
              <w:bottom w:val="dotted" w:sz="4" w:space="0" w:color="auto"/>
              <w:right w:val="dotted" w:sz="4" w:space="0" w:color="auto"/>
            </w:tcBorders>
            <w:vAlign w:val="center"/>
          </w:tcPr>
          <w:p w14:paraId="55296903" w14:textId="40E6D5C3"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256">
              <w:rPr>
                <w:rFonts w:ascii="Arial" w:hAnsi="Arial" w:cs="Arial"/>
                <w:sz w:val="18"/>
                <w:szCs w:val="18"/>
              </w:rPr>
              <w:t>Año siguiente al de rendición, dentro del rango comprendido del último día hábil del mes de febrero y el cuarto (4) día hábil del mes de marzo de cada año.</w:t>
            </w:r>
          </w:p>
          <w:p w14:paraId="37DAF0A3" w14:textId="77777777"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3F448A11" w14:textId="6F19F034"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256">
              <w:rPr>
                <w:rFonts w:ascii="Arial" w:hAnsi="Arial" w:cs="Arial"/>
                <w:sz w:val="18"/>
                <w:szCs w:val="18"/>
              </w:rPr>
              <w:t>Para las entidades cuyos estados financieros deban ser aprobados conforme a lo previsto por el Código de Comercio, el término rendición estará comprendido entre el quinto</w:t>
            </w:r>
            <w:r w:rsidR="004A185B" w:rsidRPr="00391256">
              <w:rPr>
                <w:rFonts w:ascii="Arial" w:hAnsi="Arial" w:cs="Arial"/>
                <w:sz w:val="18"/>
                <w:szCs w:val="18"/>
              </w:rPr>
              <w:t xml:space="preserve"> (5)</w:t>
            </w:r>
            <w:r w:rsidRPr="00391256">
              <w:rPr>
                <w:rFonts w:ascii="Arial" w:hAnsi="Arial" w:cs="Arial"/>
                <w:sz w:val="18"/>
                <w:szCs w:val="18"/>
              </w:rPr>
              <w:t xml:space="preserve"> y el décimo (10) día hábil del mes de abril de cada año.</w:t>
            </w:r>
          </w:p>
        </w:tc>
        <w:tc>
          <w:tcPr>
            <w:tcW w:w="1620" w:type="dxa"/>
            <w:vMerge w:val="restart"/>
            <w:tcBorders>
              <w:top w:val="dotted" w:sz="4" w:space="0" w:color="auto"/>
              <w:left w:val="dotted" w:sz="4" w:space="0" w:color="auto"/>
              <w:bottom w:val="dotted" w:sz="4" w:space="0" w:color="auto"/>
              <w:right w:val="dotted" w:sz="4" w:space="0" w:color="auto"/>
            </w:tcBorders>
            <w:vAlign w:val="center"/>
          </w:tcPr>
          <w:p w14:paraId="43C21971" w14:textId="2B3C3185"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F05FB8">
              <w:rPr>
                <w:rFonts w:ascii="Arial" w:hAnsi="Arial" w:cs="Arial"/>
                <w:sz w:val="18"/>
                <w:szCs w:val="18"/>
              </w:rPr>
              <w:t>Contraloría General de la Republica</w:t>
            </w:r>
          </w:p>
        </w:tc>
        <w:tc>
          <w:tcPr>
            <w:tcW w:w="5400" w:type="dxa"/>
            <w:tcBorders>
              <w:top w:val="dotted" w:sz="4" w:space="0" w:color="auto"/>
              <w:left w:val="dotted" w:sz="4" w:space="0" w:color="auto"/>
              <w:bottom w:val="dotted" w:sz="4" w:space="0" w:color="auto"/>
              <w:right w:val="dotted" w:sz="4" w:space="0" w:color="auto"/>
            </w:tcBorders>
            <w:vAlign w:val="center"/>
          </w:tcPr>
          <w:p w14:paraId="0856DF04" w14:textId="01B7672E"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F05FB8">
              <w:rPr>
                <w:rFonts w:ascii="Arial" w:hAnsi="Arial" w:cs="Arial"/>
                <w:sz w:val="18"/>
                <w:szCs w:val="18"/>
              </w:rPr>
              <w:t>El método y forma de rendir cuenta e informe y otra información, que se establecen por esta resolución, serán de obligatorio cumplimiento por parte de todas las entidades del orden nacional, territorial y los particulares que administren o manejen fondos, bienes o recursos públicos en sus diferentes etapas de planeación, recaudo o percepción, conservación, adquisición, custodia, explotación, enajenación, consumo, adjudicación, gasto, inversión y disposición sin importar su monto o participación, que son sujetos a la vigilancia y control fiscal de la Contraloría General de la Republica, por disposición Constitucional y Legal.</w:t>
            </w:r>
          </w:p>
        </w:tc>
      </w:tr>
      <w:tr w:rsidR="001B3B1D" w:rsidRPr="00F05FB8" w14:paraId="2C29A183" w14:textId="77777777" w:rsidTr="00B25209">
        <w:trPr>
          <w:trHeight w:val="488"/>
        </w:trPr>
        <w:tc>
          <w:tcPr>
            <w:cnfStyle w:val="001000000000" w:firstRow="0" w:lastRow="0" w:firstColumn="1" w:lastColumn="0" w:oddVBand="0" w:evenVBand="0" w:oddHBand="0" w:evenHBand="0" w:firstRowFirstColumn="0" w:firstRowLastColumn="0" w:lastRowFirstColumn="0" w:lastRowLastColumn="0"/>
            <w:tcW w:w="1985" w:type="dxa"/>
            <w:vMerge/>
            <w:tcBorders>
              <w:right w:val="dotted" w:sz="4" w:space="0" w:color="auto"/>
            </w:tcBorders>
            <w:vAlign w:val="center"/>
          </w:tcPr>
          <w:p w14:paraId="281E767B" w14:textId="77777777" w:rsidR="001B3B1D" w:rsidRPr="00F05FB8" w:rsidRDefault="001B3B1D"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33B41EF5" w14:textId="2F8AE10A" w:rsidR="00B25209" w:rsidRPr="00F05FB8" w:rsidRDefault="001B3B1D" w:rsidP="00B2520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91256">
              <w:rPr>
                <w:rFonts w:ascii="Arial" w:hAnsi="Arial" w:cs="Arial"/>
                <w:sz w:val="18"/>
                <w:szCs w:val="18"/>
              </w:rPr>
              <w:t>Informe Del Sistema</w:t>
            </w:r>
            <w:r w:rsidR="00B25209" w:rsidRPr="00391256">
              <w:rPr>
                <w:rFonts w:ascii="Arial" w:hAnsi="Arial" w:cs="Arial"/>
                <w:sz w:val="18"/>
                <w:szCs w:val="18"/>
              </w:rPr>
              <w:t xml:space="preserve"> </w:t>
            </w:r>
            <w:r w:rsidRPr="00391256">
              <w:rPr>
                <w:rFonts w:ascii="Arial" w:hAnsi="Arial" w:cs="Arial"/>
                <w:sz w:val="18"/>
                <w:szCs w:val="18"/>
              </w:rPr>
              <w:t>General</w:t>
            </w:r>
            <w:r w:rsidR="00B25209" w:rsidRPr="00391256">
              <w:rPr>
                <w:rFonts w:ascii="Arial" w:hAnsi="Arial" w:cs="Arial"/>
                <w:sz w:val="18"/>
                <w:szCs w:val="18"/>
              </w:rPr>
              <w:t xml:space="preserve"> </w:t>
            </w:r>
            <w:r w:rsidRPr="00391256">
              <w:rPr>
                <w:rFonts w:ascii="Arial" w:hAnsi="Arial" w:cs="Arial"/>
                <w:sz w:val="18"/>
                <w:szCs w:val="18"/>
              </w:rPr>
              <w:t>de Participaciones y demás</w:t>
            </w:r>
            <w:r w:rsidR="00B25209" w:rsidRPr="00391256">
              <w:rPr>
                <w:rFonts w:ascii="Arial" w:hAnsi="Arial" w:cs="Arial"/>
                <w:sz w:val="18"/>
                <w:szCs w:val="18"/>
              </w:rPr>
              <w:t xml:space="preserve"> </w:t>
            </w:r>
            <w:r w:rsidRPr="00391256">
              <w:rPr>
                <w:rFonts w:ascii="Arial" w:hAnsi="Arial" w:cs="Arial"/>
                <w:sz w:val="18"/>
                <w:szCs w:val="18"/>
              </w:rPr>
              <w:t>Transferencias de</w:t>
            </w:r>
            <w:r w:rsidR="00B25209" w:rsidRPr="00391256">
              <w:rPr>
                <w:rFonts w:ascii="Arial" w:hAnsi="Arial" w:cs="Arial"/>
                <w:sz w:val="18"/>
                <w:szCs w:val="18"/>
              </w:rPr>
              <w:t xml:space="preserve"> </w:t>
            </w:r>
            <w:r w:rsidRPr="00391256">
              <w:rPr>
                <w:rFonts w:ascii="Arial" w:hAnsi="Arial" w:cs="Arial"/>
                <w:sz w:val="18"/>
                <w:szCs w:val="18"/>
              </w:rPr>
              <w:t>Origen</w:t>
            </w:r>
            <w:r w:rsidR="00B25209" w:rsidRPr="00391256">
              <w:rPr>
                <w:rFonts w:ascii="Arial" w:hAnsi="Arial" w:cs="Arial"/>
                <w:sz w:val="18"/>
                <w:szCs w:val="18"/>
              </w:rPr>
              <w:t xml:space="preserve"> </w:t>
            </w:r>
            <w:r w:rsidRPr="00391256">
              <w:rPr>
                <w:rFonts w:ascii="Arial" w:hAnsi="Arial" w:cs="Arial"/>
                <w:sz w:val="18"/>
                <w:szCs w:val="18"/>
              </w:rPr>
              <w:t>Nacional</w:t>
            </w:r>
          </w:p>
        </w:tc>
        <w:tc>
          <w:tcPr>
            <w:tcW w:w="2821" w:type="dxa"/>
            <w:vMerge/>
            <w:tcBorders>
              <w:top w:val="dotted" w:sz="4" w:space="0" w:color="auto"/>
              <w:left w:val="dotted" w:sz="4" w:space="0" w:color="auto"/>
              <w:bottom w:val="dotted" w:sz="4" w:space="0" w:color="auto"/>
              <w:right w:val="dotted" w:sz="4" w:space="0" w:color="auto"/>
            </w:tcBorders>
            <w:vAlign w:val="center"/>
          </w:tcPr>
          <w:p w14:paraId="2014616A" w14:textId="77777777" w:rsidR="001B3B1D" w:rsidRPr="004A4E40"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560" w:type="dxa"/>
            <w:vMerge/>
            <w:tcBorders>
              <w:top w:val="dotted" w:sz="4" w:space="0" w:color="auto"/>
              <w:left w:val="dotted" w:sz="4" w:space="0" w:color="auto"/>
              <w:bottom w:val="dotted" w:sz="4" w:space="0" w:color="auto"/>
              <w:right w:val="dotted" w:sz="4" w:space="0" w:color="auto"/>
            </w:tcBorders>
            <w:vAlign w:val="center"/>
          </w:tcPr>
          <w:p w14:paraId="48E9F321" w14:textId="77777777" w:rsidR="001B3B1D" w:rsidRPr="00F05FB8" w:rsidRDefault="001B3B1D" w:rsidP="00B2520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3916" w:type="dxa"/>
            <w:tcBorders>
              <w:top w:val="dotted" w:sz="4" w:space="0" w:color="auto"/>
              <w:left w:val="dotted" w:sz="4" w:space="0" w:color="auto"/>
              <w:bottom w:val="dotted" w:sz="4" w:space="0" w:color="auto"/>
              <w:right w:val="dotted" w:sz="4" w:space="0" w:color="auto"/>
            </w:tcBorders>
            <w:vAlign w:val="center"/>
          </w:tcPr>
          <w:p w14:paraId="0358A9BF" w14:textId="2204AA96"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91256">
              <w:rPr>
                <w:rFonts w:ascii="Arial" w:hAnsi="Arial" w:cs="Arial"/>
                <w:sz w:val="18"/>
                <w:szCs w:val="18"/>
              </w:rPr>
              <w:t xml:space="preserve">Es la fecha límite de rendición del informe de recursos del </w:t>
            </w:r>
            <w:r w:rsidRPr="00391256">
              <w:rPr>
                <w:rFonts w:ascii="Arial" w:hAnsi="Arial" w:cs="Arial"/>
                <w:b/>
                <w:sz w:val="18"/>
                <w:szCs w:val="18"/>
                <w:u w:val="single"/>
              </w:rPr>
              <w:t>Sistema General de Participaciones y demás transferencias de origen nacional,</w:t>
            </w:r>
            <w:r w:rsidRPr="00391256">
              <w:rPr>
                <w:rFonts w:ascii="Arial" w:hAnsi="Arial" w:cs="Arial"/>
                <w:sz w:val="18"/>
                <w:szCs w:val="18"/>
              </w:rPr>
              <w:t xml:space="preserve"> establecida en el Sistema de Rendición Electrónico de la Cuenta e Informe y Otra Información (SIRECI), para cada responsable, fecha que está comprendida, en el año siguiente al de rendición, dentro del rango comprendido entre el quinto (5) día hábil y el décimo (10) día hábil del mes de marzo de cada año</w:t>
            </w:r>
          </w:p>
        </w:tc>
        <w:tc>
          <w:tcPr>
            <w:tcW w:w="1620" w:type="dxa"/>
            <w:vMerge/>
            <w:tcBorders>
              <w:top w:val="dotted" w:sz="4" w:space="0" w:color="auto"/>
              <w:left w:val="dotted" w:sz="4" w:space="0" w:color="auto"/>
              <w:bottom w:val="dotted" w:sz="4" w:space="0" w:color="auto"/>
              <w:right w:val="dotted" w:sz="4" w:space="0" w:color="auto"/>
            </w:tcBorders>
            <w:vAlign w:val="center"/>
          </w:tcPr>
          <w:p w14:paraId="522107BD" w14:textId="0EE50760"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0" w:type="dxa"/>
            <w:tcBorders>
              <w:top w:val="dotted" w:sz="4" w:space="0" w:color="auto"/>
              <w:left w:val="dotted" w:sz="4" w:space="0" w:color="auto"/>
              <w:bottom w:val="dotted" w:sz="4" w:space="0" w:color="auto"/>
              <w:right w:val="dotted" w:sz="4" w:space="0" w:color="auto"/>
            </w:tcBorders>
            <w:vAlign w:val="center"/>
          </w:tcPr>
          <w:p w14:paraId="5832B3D4" w14:textId="550D4BFE"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Es la información relacionada con la gestión y resultados en la administración, manejo y rendimiento de fondos, bienes y recursos públicos provenientes de la nación y demás transferencias intergubernamentales de origen nacional realizados por las entidades territoriales.</w:t>
            </w:r>
          </w:p>
        </w:tc>
      </w:tr>
      <w:tr w:rsidR="001B3B1D" w:rsidRPr="00F05FB8" w14:paraId="4D8E288D" w14:textId="77777777" w:rsidTr="00B25209">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985" w:type="dxa"/>
            <w:vMerge/>
            <w:tcBorders>
              <w:right w:val="dotted" w:sz="4" w:space="0" w:color="auto"/>
            </w:tcBorders>
            <w:vAlign w:val="center"/>
          </w:tcPr>
          <w:p w14:paraId="0CB3159C" w14:textId="77777777" w:rsidR="001B3B1D" w:rsidRPr="00F05FB8" w:rsidRDefault="001B3B1D"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D50B273" w14:textId="68A0F2A8"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256">
              <w:rPr>
                <w:rFonts w:ascii="Arial" w:hAnsi="Arial" w:cs="Arial"/>
                <w:sz w:val="18"/>
                <w:szCs w:val="18"/>
              </w:rPr>
              <w:t>Informe de la Gestión Contractual</w:t>
            </w:r>
          </w:p>
        </w:tc>
        <w:tc>
          <w:tcPr>
            <w:tcW w:w="2821" w:type="dxa"/>
            <w:vMerge/>
            <w:tcBorders>
              <w:top w:val="dotted" w:sz="4" w:space="0" w:color="auto"/>
              <w:left w:val="dotted" w:sz="4" w:space="0" w:color="auto"/>
              <w:bottom w:val="dotted" w:sz="4" w:space="0" w:color="auto"/>
              <w:right w:val="dotted" w:sz="4" w:space="0" w:color="auto"/>
            </w:tcBorders>
            <w:vAlign w:val="center"/>
          </w:tcPr>
          <w:p w14:paraId="2BDAC922" w14:textId="77777777" w:rsidR="001B3B1D" w:rsidRPr="004A4E40"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560" w:type="dxa"/>
            <w:vMerge w:val="restart"/>
            <w:tcBorders>
              <w:top w:val="dotted" w:sz="4" w:space="0" w:color="auto"/>
              <w:left w:val="dotted" w:sz="4" w:space="0" w:color="auto"/>
              <w:bottom w:val="dotted" w:sz="4" w:space="0" w:color="auto"/>
              <w:right w:val="dotted" w:sz="4" w:space="0" w:color="auto"/>
            </w:tcBorders>
            <w:vAlign w:val="center"/>
          </w:tcPr>
          <w:p w14:paraId="0362F1A6" w14:textId="4E7C3067" w:rsidR="001B3B1D" w:rsidRPr="00F05FB8" w:rsidRDefault="001B3B1D" w:rsidP="00B2520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391256">
              <w:rPr>
                <w:rFonts w:ascii="Arial" w:hAnsi="Arial" w:cs="Arial"/>
                <w:b/>
                <w:sz w:val="18"/>
                <w:szCs w:val="18"/>
              </w:rPr>
              <w:t>Mensual</w:t>
            </w:r>
          </w:p>
        </w:tc>
        <w:tc>
          <w:tcPr>
            <w:tcW w:w="3916" w:type="dxa"/>
            <w:tcBorders>
              <w:top w:val="dotted" w:sz="4" w:space="0" w:color="auto"/>
              <w:left w:val="dotted" w:sz="4" w:space="0" w:color="auto"/>
              <w:bottom w:val="dotted" w:sz="4" w:space="0" w:color="auto"/>
              <w:right w:val="dotted" w:sz="4" w:space="0" w:color="auto"/>
            </w:tcBorders>
            <w:vAlign w:val="center"/>
          </w:tcPr>
          <w:p w14:paraId="333C5860" w14:textId="74AA0374"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256">
              <w:rPr>
                <w:rFonts w:ascii="Arial" w:hAnsi="Arial" w:cs="Arial"/>
                <w:sz w:val="18"/>
                <w:szCs w:val="18"/>
              </w:rPr>
              <w:t>Para cada entidad o particular sujeto de vigilancia y control fiscal de la Contraloría General de la República, fecha que está comprendida, en el mes inmediatamente siguiente del período a reportar, dentro del rango comprendido entre el sexto (6) día hábil y el décimo (10) día hábil de cada mes.</w:t>
            </w:r>
          </w:p>
        </w:tc>
        <w:tc>
          <w:tcPr>
            <w:tcW w:w="1620" w:type="dxa"/>
            <w:vMerge/>
            <w:tcBorders>
              <w:top w:val="dotted" w:sz="4" w:space="0" w:color="auto"/>
              <w:left w:val="dotted" w:sz="4" w:space="0" w:color="auto"/>
              <w:bottom w:val="dotted" w:sz="4" w:space="0" w:color="auto"/>
              <w:right w:val="dotted" w:sz="4" w:space="0" w:color="auto"/>
            </w:tcBorders>
            <w:vAlign w:val="center"/>
          </w:tcPr>
          <w:p w14:paraId="05DD2E0C" w14:textId="4B87C924"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0" w:type="dxa"/>
            <w:tcBorders>
              <w:top w:val="dotted" w:sz="4" w:space="0" w:color="auto"/>
              <w:left w:val="dotted" w:sz="4" w:space="0" w:color="auto"/>
              <w:bottom w:val="dotted" w:sz="4" w:space="0" w:color="auto"/>
              <w:right w:val="dotted" w:sz="4" w:space="0" w:color="auto"/>
            </w:tcBorders>
            <w:vAlign w:val="center"/>
          </w:tcPr>
          <w:p w14:paraId="113C3371" w14:textId="6690204F"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Es la información relacionada con los procesos contractuales que deben</w:t>
            </w:r>
            <w:r w:rsidR="000073D7" w:rsidRPr="00F05FB8">
              <w:rPr>
                <w:rFonts w:ascii="Arial" w:hAnsi="Arial" w:cs="Arial"/>
                <w:sz w:val="18"/>
                <w:szCs w:val="18"/>
              </w:rPr>
              <w:t xml:space="preserve"> </w:t>
            </w:r>
            <w:r w:rsidRPr="00F05FB8">
              <w:rPr>
                <w:rFonts w:ascii="Arial" w:hAnsi="Arial" w:cs="Arial"/>
                <w:sz w:val="18"/>
                <w:szCs w:val="18"/>
              </w:rPr>
              <w:t>realizar las entidades del orden nacional y particulares que manejan, administran o gestionan fondos y recursos públicos.</w:t>
            </w:r>
          </w:p>
        </w:tc>
      </w:tr>
      <w:tr w:rsidR="001B3B1D" w:rsidRPr="00F05FB8" w14:paraId="5CB30579" w14:textId="77777777" w:rsidTr="00B25209">
        <w:trPr>
          <w:trHeight w:val="488"/>
        </w:trPr>
        <w:tc>
          <w:tcPr>
            <w:cnfStyle w:val="001000000000" w:firstRow="0" w:lastRow="0" w:firstColumn="1" w:lastColumn="0" w:oddVBand="0" w:evenVBand="0" w:oddHBand="0" w:evenHBand="0" w:firstRowFirstColumn="0" w:firstRowLastColumn="0" w:lastRowFirstColumn="0" w:lastRowLastColumn="0"/>
            <w:tcW w:w="1985" w:type="dxa"/>
            <w:vMerge/>
            <w:tcBorders>
              <w:right w:val="dotted" w:sz="4" w:space="0" w:color="auto"/>
            </w:tcBorders>
            <w:vAlign w:val="center"/>
          </w:tcPr>
          <w:p w14:paraId="63681FB8" w14:textId="77777777" w:rsidR="001B3B1D" w:rsidRPr="00F05FB8" w:rsidRDefault="001B3B1D"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2C95CE68" w14:textId="4C5DAB47"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91256">
              <w:rPr>
                <w:rFonts w:ascii="Arial" w:hAnsi="Arial" w:cs="Arial"/>
                <w:sz w:val="18"/>
                <w:szCs w:val="18"/>
              </w:rPr>
              <w:t>Informe de Regalías</w:t>
            </w:r>
          </w:p>
        </w:tc>
        <w:tc>
          <w:tcPr>
            <w:tcW w:w="2821" w:type="dxa"/>
            <w:vMerge/>
            <w:tcBorders>
              <w:top w:val="dotted" w:sz="4" w:space="0" w:color="auto"/>
              <w:left w:val="dotted" w:sz="4" w:space="0" w:color="auto"/>
              <w:bottom w:val="dotted" w:sz="4" w:space="0" w:color="auto"/>
              <w:right w:val="dotted" w:sz="4" w:space="0" w:color="auto"/>
            </w:tcBorders>
            <w:vAlign w:val="center"/>
          </w:tcPr>
          <w:p w14:paraId="0A1C293A" w14:textId="77777777" w:rsidR="001B3B1D" w:rsidRPr="004A4E40"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560" w:type="dxa"/>
            <w:vMerge/>
            <w:tcBorders>
              <w:top w:val="dotted" w:sz="4" w:space="0" w:color="auto"/>
              <w:left w:val="dotted" w:sz="4" w:space="0" w:color="auto"/>
              <w:bottom w:val="dotted" w:sz="4" w:space="0" w:color="auto"/>
              <w:right w:val="dotted" w:sz="4" w:space="0" w:color="auto"/>
            </w:tcBorders>
            <w:vAlign w:val="center"/>
          </w:tcPr>
          <w:p w14:paraId="75664772" w14:textId="77777777" w:rsidR="001B3B1D" w:rsidRPr="00F05FB8" w:rsidRDefault="001B3B1D" w:rsidP="00B2520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3916" w:type="dxa"/>
            <w:tcBorders>
              <w:top w:val="dotted" w:sz="4" w:space="0" w:color="auto"/>
              <w:left w:val="dotted" w:sz="4" w:space="0" w:color="auto"/>
              <w:bottom w:val="dotted" w:sz="4" w:space="0" w:color="auto"/>
              <w:right w:val="dotted" w:sz="4" w:space="0" w:color="auto"/>
            </w:tcBorders>
            <w:vAlign w:val="center"/>
          </w:tcPr>
          <w:p w14:paraId="4040FA4A" w14:textId="3DE41B04"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91256">
              <w:rPr>
                <w:rFonts w:ascii="Arial" w:hAnsi="Arial" w:cs="Arial"/>
                <w:sz w:val="18"/>
                <w:szCs w:val="18"/>
              </w:rPr>
              <w:t xml:space="preserve">Para cada entidad responsable, fecha que está comprendida, en el mes inmediatamente siguiente del período a reportar, dentro del </w:t>
            </w:r>
            <w:r w:rsidRPr="00391256">
              <w:rPr>
                <w:rFonts w:ascii="Arial" w:hAnsi="Arial" w:cs="Arial"/>
                <w:sz w:val="18"/>
                <w:szCs w:val="18"/>
              </w:rPr>
              <w:lastRenderedPageBreak/>
              <w:t>rango comprendido entre el sexto (6) día hábil y el décimo (10) día hábil de cada mes.</w:t>
            </w:r>
          </w:p>
        </w:tc>
        <w:tc>
          <w:tcPr>
            <w:tcW w:w="1620" w:type="dxa"/>
            <w:vMerge/>
            <w:tcBorders>
              <w:top w:val="dotted" w:sz="4" w:space="0" w:color="auto"/>
              <w:left w:val="dotted" w:sz="4" w:space="0" w:color="auto"/>
              <w:bottom w:val="dotted" w:sz="4" w:space="0" w:color="auto"/>
              <w:right w:val="dotted" w:sz="4" w:space="0" w:color="auto"/>
            </w:tcBorders>
            <w:vAlign w:val="center"/>
          </w:tcPr>
          <w:p w14:paraId="6FCFD526" w14:textId="6E7CAE8B"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0" w:type="dxa"/>
            <w:tcBorders>
              <w:top w:val="dotted" w:sz="4" w:space="0" w:color="auto"/>
              <w:left w:val="dotted" w:sz="4" w:space="0" w:color="auto"/>
              <w:bottom w:val="dotted" w:sz="4" w:space="0" w:color="auto"/>
              <w:right w:val="dotted" w:sz="4" w:space="0" w:color="auto"/>
            </w:tcBorders>
            <w:vAlign w:val="center"/>
          </w:tcPr>
          <w:p w14:paraId="5DD608CC" w14:textId="7188FAE6"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Es la información relacionada con la gestión y los resultados de la</w:t>
            </w:r>
            <w:r w:rsidR="00823E03" w:rsidRPr="00F05FB8">
              <w:rPr>
                <w:rFonts w:ascii="Arial" w:hAnsi="Arial" w:cs="Arial"/>
                <w:sz w:val="18"/>
                <w:szCs w:val="18"/>
              </w:rPr>
              <w:t xml:space="preserve"> </w:t>
            </w:r>
            <w:r w:rsidRPr="00F05FB8">
              <w:rPr>
                <w:rFonts w:ascii="Arial" w:hAnsi="Arial" w:cs="Arial"/>
                <w:sz w:val="18"/>
                <w:szCs w:val="18"/>
              </w:rPr>
              <w:t xml:space="preserve">administración, manejo y rendimiento de fondos, bienes y recursos públicos realizados por las entidades del orden nacional </w:t>
            </w:r>
            <w:r w:rsidRPr="00F05FB8">
              <w:rPr>
                <w:rFonts w:ascii="Arial" w:hAnsi="Arial" w:cs="Arial"/>
                <w:sz w:val="18"/>
                <w:szCs w:val="18"/>
              </w:rPr>
              <w:lastRenderedPageBreak/>
              <w:t>y territorial, transferido o proveniente del Sistema General de Regalías.</w:t>
            </w:r>
          </w:p>
          <w:p w14:paraId="6A721A84" w14:textId="77777777"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13311303" w14:textId="7F60B5DC"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El informe de regalías está constituido por: El informe de ingresos y gastos con recursos de regalías y el informe de la gestión contractual de las entidades del orden nacional y territorial con recursos del sistema general de regalías.</w:t>
            </w:r>
          </w:p>
        </w:tc>
      </w:tr>
      <w:tr w:rsidR="001B3B1D" w:rsidRPr="00F05FB8" w14:paraId="2B624590" w14:textId="77777777" w:rsidTr="00B25209">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985" w:type="dxa"/>
            <w:vMerge/>
            <w:tcBorders>
              <w:right w:val="dotted" w:sz="4" w:space="0" w:color="auto"/>
            </w:tcBorders>
            <w:vAlign w:val="center"/>
          </w:tcPr>
          <w:p w14:paraId="216CE7BD" w14:textId="77777777" w:rsidR="001B3B1D" w:rsidRPr="00F05FB8" w:rsidRDefault="001B3B1D"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6A030909" w14:textId="32438FF8"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E777F">
              <w:rPr>
                <w:rFonts w:ascii="Arial" w:hAnsi="Arial" w:cs="Arial"/>
                <w:sz w:val="18"/>
                <w:szCs w:val="18"/>
              </w:rPr>
              <w:t>Planes de Mejoramiento</w:t>
            </w:r>
          </w:p>
        </w:tc>
        <w:tc>
          <w:tcPr>
            <w:tcW w:w="2821" w:type="dxa"/>
            <w:tcBorders>
              <w:top w:val="dotted" w:sz="4" w:space="0" w:color="auto"/>
              <w:left w:val="dotted" w:sz="4" w:space="0" w:color="auto"/>
              <w:bottom w:val="dotted" w:sz="4" w:space="0" w:color="auto"/>
              <w:right w:val="dotted" w:sz="4" w:space="0" w:color="auto"/>
            </w:tcBorders>
            <w:vAlign w:val="center"/>
          </w:tcPr>
          <w:p w14:paraId="117E9423" w14:textId="5F4E12BC" w:rsidR="001B3B1D" w:rsidRPr="004A4E40" w:rsidRDefault="000D281C"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9" w:history="1">
              <w:r w:rsidRPr="004A4E40">
                <w:rPr>
                  <w:rStyle w:val="Hipervnculo"/>
                  <w:rFonts w:ascii="Arial" w:hAnsi="Arial" w:cs="Arial"/>
                  <w:sz w:val="18"/>
                  <w:szCs w:val="18"/>
                </w:rPr>
                <w:t>Resolución orgánica N° 0066 de 2024 “</w:t>
              </w:r>
              <w:r w:rsidRPr="004A4E40">
                <w:rPr>
                  <w:rStyle w:val="Hipervnculo"/>
                  <w:rFonts w:ascii="Arial" w:hAnsi="Arial" w:cs="Arial"/>
                  <w:bCs/>
                  <w:i/>
                  <w:iCs/>
                  <w:sz w:val="18"/>
                  <w:szCs w:val="18"/>
                  <w:lang w:val="es-MX"/>
                </w:rPr>
                <w:t>Por la cual se subroga la Resolución Reglamentaria Orgánica número </w:t>
              </w:r>
              <w:r w:rsidRPr="004A4E40">
                <w:rPr>
                  <w:rStyle w:val="Hipervnculo"/>
                  <w:rFonts w:ascii="Arial" w:hAnsi="Arial" w:cs="Arial"/>
                  <w:i/>
                  <w:iCs/>
                  <w:sz w:val="18"/>
                  <w:szCs w:val="18"/>
                  <w:lang w:val="es-MX"/>
                </w:rPr>
                <w:t>064</w:t>
              </w:r>
              <w:r w:rsidRPr="004A4E40">
                <w:rPr>
                  <w:rStyle w:val="Hipervnculo"/>
                  <w:rFonts w:ascii="Arial" w:hAnsi="Arial" w:cs="Arial"/>
                  <w:bCs/>
                  <w:i/>
                  <w:iCs/>
                  <w:sz w:val="18"/>
                  <w:szCs w:val="18"/>
                  <w:lang w:val="es-MX"/>
                </w:rPr>
                <w:t> de 2023 que reglamenta la rendición electrónica de la cuenta, los informes y otra información que realizan los sujetos de vigilancia y control fiscal de la Contraloría General de la</w:t>
              </w:r>
              <w:r w:rsidRPr="004A4E40">
                <w:rPr>
                  <w:rStyle w:val="Hipervnculo"/>
                  <w:rFonts w:ascii="Arial" w:hAnsi="Arial" w:cs="Arial"/>
                  <w:bCs/>
                  <w:sz w:val="18"/>
                  <w:szCs w:val="18"/>
                  <w:lang w:val="es-MX"/>
                </w:rPr>
                <w:t> </w:t>
              </w:r>
              <w:r w:rsidRPr="004A4E40">
                <w:rPr>
                  <w:rStyle w:val="Hipervnculo"/>
                  <w:rFonts w:ascii="Arial" w:hAnsi="Arial" w:cs="Arial"/>
                  <w:bCs/>
                  <w:i/>
                  <w:iCs/>
                  <w:sz w:val="18"/>
                  <w:szCs w:val="18"/>
                  <w:lang w:val="es-MX"/>
                </w:rPr>
                <w:t>República a través del Sistema de Rendición Electrónico de la Cuenta e Informes y Otra Información (Sireci)”.</w:t>
              </w:r>
            </w:hyperlink>
          </w:p>
        </w:tc>
        <w:tc>
          <w:tcPr>
            <w:tcW w:w="1560" w:type="dxa"/>
            <w:tcBorders>
              <w:top w:val="dotted" w:sz="4" w:space="0" w:color="auto"/>
              <w:left w:val="dotted" w:sz="4" w:space="0" w:color="auto"/>
              <w:bottom w:val="dotted" w:sz="4" w:space="0" w:color="auto"/>
              <w:right w:val="dotted" w:sz="4" w:space="0" w:color="auto"/>
            </w:tcBorders>
            <w:vAlign w:val="center"/>
          </w:tcPr>
          <w:p w14:paraId="4005AB7A" w14:textId="6B420CF7" w:rsidR="001B3B1D" w:rsidRPr="009538BA" w:rsidRDefault="001B3B1D" w:rsidP="00B2520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9538BA">
              <w:rPr>
                <w:rFonts w:ascii="Arial" w:hAnsi="Arial" w:cs="Arial"/>
                <w:b/>
                <w:sz w:val="18"/>
                <w:szCs w:val="18"/>
              </w:rPr>
              <w:t>Semestral</w:t>
            </w:r>
          </w:p>
        </w:tc>
        <w:tc>
          <w:tcPr>
            <w:tcW w:w="3916" w:type="dxa"/>
            <w:tcBorders>
              <w:top w:val="dotted" w:sz="4" w:space="0" w:color="auto"/>
              <w:left w:val="dotted" w:sz="4" w:space="0" w:color="auto"/>
              <w:bottom w:val="dotted" w:sz="4" w:space="0" w:color="auto"/>
              <w:right w:val="dotted" w:sz="4" w:space="0" w:color="auto"/>
            </w:tcBorders>
            <w:vAlign w:val="center"/>
          </w:tcPr>
          <w:p w14:paraId="0D03D21A" w14:textId="18F0A6B0"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E777F">
              <w:rPr>
                <w:rFonts w:ascii="Arial" w:hAnsi="Arial" w:cs="Arial"/>
                <w:sz w:val="18"/>
                <w:szCs w:val="18"/>
              </w:rPr>
              <w:t xml:space="preserve">Para los avances de los planes de mejoramiento, cada sujeto de control tendrá una fecha límite para su rendición. </w:t>
            </w:r>
            <w:r w:rsidR="009F3159" w:rsidRPr="005E777F">
              <w:rPr>
                <w:rFonts w:ascii="Arial" w:hAnsi="Arial" w:cs="Arial"/>
                <w:sz w:val="18"/>
                <w:szCs w:val="18"/>
              </w:rPr>
              <w:t>La cual estará ubicada dentro del rango previsto, entre el quinceavo (15) día hábil y el veinteavo (20) día hábil del mes de julio y los correspondientes en el mes de enero, siguientes al período a reportar.</w:t>
            </w:r>
          </w:p>
        </w:tc>
        <w:tc>
          <w:tcPr>
            <w:tcW w:w="1620" w:type="dxa"/>
            <w:vMerge/>
            <w:tcBorders>
              <w:top w:val="dotted" w:sz="4" w:space="0" w:color="auto"/>
              <w:left w:val="dotted" w:sz="4" w:space="0" w:color="auto"/>
              <w:bottom w:val="dotted" w:sz="4" w:space="0" w:color="auto"/>
              <w:right w:val="dotted" w:sz="4" w:space="0" w:color="auto"/>
            </w:tcBorders>
            <w:vAlign w:val="center"/>
          </w:tcPr>
          <w:p w14:paraId="349039F8" w14:textId="4B0EACB1"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0" w:type="dxa"/>
            <w:tcBorders>
              <w:top w:val="dotted" w:sz="4" w:space="0" w:color="auto"/>
              <w:left w:val="dotted" w:sz="4" w:space="0" w:color="auto"/>
              <w:bottom w:val="dotted" w:sz="4" w:space="0" w:color="auto"/>
              <w:right w:val="dotted" w:sz="4" w:space="0" w:color="auto"/>
            </w:tcBorders>
            <w:vAlign w:val="center"/>
          </w:tcPr>
          <w:p w14:paraId="1C0C9FFC" w14:textId="18A383F8"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Instrumento que contiene la información del conjunto de las acciones correctivas y/o preventivas que debe adelantar un sujeto de vigilancia y control fiscal o entidad territorial, en un período determinado, para dar cumplimiento a la obligación de subsanar y corregir las causas administrativas que dieron origen a los hallazgos identificados por la Contraloría General de la República, como resultado del ejercicio de una actuación fiscal</w:t>
            </w:r>
          </w:p>
        </w:tc>
      </w:tr>
      <w:tr w:rsidR="001B3B1D" w:rsidRPr="00F05FB8" w14:paraId="2DF43986" w14:textId="77777777" w:rsidTr="000175AF">
        <w:trPr>
          <w:trHeight w:val="488"/>
        </w:trPr>
        <w:tc>
          <w:tcPr>
            <w:cnfStyle w:val="001000000000" w:firstRow="0" w:lastRow="0" w:firstColumn="1" w:lastColumn="0" w:oddVBand="0" w:evenVBand="0" w:oddHBand="0" w:evenHBand="0" w:firstRowFirstColumn="0" w:firstRowLastColumn="0" w:lastRowFirstColumn="0" w:lastRowLastColumn="0"/>
            <w:tcW w:w="1985" w:type="dxa"/>
            <w:vMerge/>
            <w:tcBorders>
              <w:right w:val="dotted" w:sz="4" w:space="0" w:color="auto"/>
            </w:tcBorders>
            <w:vAlign w:val="center"/>
          </w:tcPr>
          <w:p w14:paraId="30C7BA03" w14:textId="77777777" w:rsidR="001B3B1D" w:rsidRPr="00F05FB8" w:rsidRDefault="001B3B1D"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7937DC74" w14:textId="0B3E3380"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E777F">
              <w:rPr>
                <w:rFonts w:ascii="Arial" w:hAnsi="Arial" w:cs="Arial"/>
                <w:sz w:val="18"/>
                <w:szCs w:val="18"/>
              </w:rPr>
              <w:t>Información de los Recursos Destinados al Posconflicto</w:t>
            </w:r>
          </w:p>
        </w:tc>
        <w:tc>
          <w:tcPr>
            <w:tcW w:w="2821" w:type="dxa"/>
            <w:tcBorders>
              <w:top w:val="dotted" w:sz="4" w:space="0" w:color="auto"/>
              <w:left w:val="dotted" w:sz="4" w:space="0" w:color="auto"/>
              <w:bottom w:val="dotted" w:sz="4" w:space="0" w:color="auto"/>
              <w:right w:val="dotted" w:sz="4" w:space="0" w:color="auto"/>
            </w:tcBorders>
            <w:vAlign w:val="center"/>
          </w:tcPr>
          <w:p w14:paraId="6F114666" w14:textId="51319E26" w:rsidR="001B3B1D" w:rsidRPr="004A4E40" w:rsidRDefault="000D281C"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10" w:history="1">
              <w:r w:rsidRPr="004A4E40">
                <w:rPr>
                  <w:rStyle w:val="Hipervnculo"/>
                  <w:rFonts w:ascii="Arial" w:hAnsi="Arial" w:cs="Arial"/>
                  <w:sz w:val="18"/>
                  <w:szCs w:val="18"/>
                </w:rPr>
                <w:t>Resolución orgánica N° 0066 de 2024 “</w:t>
              </w:r>
              <w:r w:rsidRPr="004A4E40">
                <w:rPr>
                  <w:rStyle w:val="Hipervnculo"/>
                  <w:rFonts w:ascii="Arial" w:hAnsi="Arial" w:cs="Arial"/>
                  <w:bCs/>
                  <w:i/>
                  <w:iCs/>
                  <w:sz w:val="18"/>
                  <w:szCs w:val="18"/>
                  <w:lang w:val="es-MX"/>
                </w:rPr>
                <w:t>Por la cual se subroga la Resolución Reglamentaria Orgánica número </w:t>
              </w:r>
              <w:r w:rsidRPr="004A4E40">
                <w:rPr>
                  <w:rStyle w:val="Hipervnculo"/>
                  <w:rFonts w:ascii="Arial" w:hAnsi="Arial" w:cs="Arial"/>
                  <w:i/>
                  <w:iCs/>
                  <w:sz w:val="18"/>
                  <w:szCs w:val="18"/>
                  <w:lang w:val="es-MX"/>
                </w:rPr>
                <w:t>064</w:t>
              </w:r>
              <w:r w:rsidRPr="004A4E40">
                <w:rPr>
                  <w:rStyle w:val="Hipervnculo"/>
                  <w:rFonts w:ascii="Arial" w:hAnsi="Arial" w:cs="Arial"/>
                  <w:bCs/>
                  <w:i/>
                  <w:iCs/>
                  <w:sz w:val="18"/>
                  <w:szCs w:val="18"/>
                  <w:lang w:val="es-MX"/>
                </w:rPr>
                <w:t> de 2023 que reglamenta la rendición electrónica de la cuenta, los informes y otra información que realizan los sujetos de vigilancia y control fiscal de la Contraloría General de la</w:t>
              </w:r>
              <w:r w:rsidRPr="004A4E40">
                <w:rPr>
                  <w:rStyle w:val="Hipervnculo"/>
                  <w:rFonts w:ascii="Arial" w:hAnsi="Arial" w:cs="Arial"/>
                  <w:bCs/>
                  <w:sz w:val="18"/>
                  <w:szCs w:val="18"/>
                  <w:lang w:val="es-MX"/>
                </w:rPr>
                <w:t> </w:t>
              </w:r>
              <w:r w:rsidRPr="004A4E40">
                <w:rPr>
                  <w:rStyle w:val="Hipervnculo"/>
                  <w:rFonts w:ascii="Arial" w:hAnsi="Arial" w:cs="Arial"/>
                  <w:bCs/>
                  <w:i/>
                  <w:iCs/>
                  <w:sz w:val="18"/>
                  <w:szCs w:val="18"/>
                  <w:lang w:val="es-MX"/>
                </w:rPr>
                <w:t>República a través del Sistema de Rendición Electrónico de la Cuenta e Informes y Otra Información (Sireci)”.</w:t>
              </w:r>
            </w:hyperlink>
          </w:p>
        </w:tc>
        <w:tc>
          <w:tcPr>
            <w:tcW w:w="1560" w:type="dxa"/>
            <w:tcBorders>
              <w:top w:val="dotted" w:sz="4" w:space="0" w:color="auto"/>
              <w:left w:val="dotted" w:sz="4" w:space="0" w:color="auto"/>
              <w:bottom w:val="dotted" w:sz="4" w:space="0" w:color="auto"/>
              <w:right w:val="dotted" w:sz="4" w:space="0" w:color="auto"/>
            </w:tcBorders>
            <w:vAlign w:val="center"/>
          </w:tcPr>
          <w:p w14:paraId="04C6A56E" w14:textId="0AAAFFAD" w:rsidR="001B3B1D" w:rsidRPr="009538BA" w:rsidRDefault="001B3B1D" w:rsidP="00B2520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9538BA">
              <w:rPr>
                <w:rFonts w:ascii="Arial" w:hAnsi="Arial" w:cs="Arial"/>
                <w:b/>
                <w:sz w:val="18"/>
                <w:szCs w:val="18"/>
              </w:rPr>
              <w:t>Semestral</w:t>
            </w:r>
          </w:p>
        </w:tc>
        <w:tc>
          <w:tcPr>
            <w:tcW w:w="3916" w:type="dxa"/>
            <w:tcBorders>
              <w:top w:val="dotted" w:sz="4" w:space="0" w:color="auto"/>
              <w:left w:val="dotted" w:sz="4" w:space="0" w:color="auto"/>
              <w:bottom w:val="dotted" w:sz="4" w:space="0" w:color="auto"/>
              <w:right w:val="dotted" w:sz="4" w:space="0" w:color="auto"/>
            </w:tcBorders>
            <w:vAlign w:val="center"/>
          </w:tcPr>
          <w:p w14:paraId="4C5CC8A5" w14:textId="36C9DDC5"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E777F">
              <w:rPr>
                <w:rFonts w:ascii="Arial" w:hAnsi="Arial" w:cs="Arial"/>
                <w:sz w:val="18"/>
                <w:szCs w:val="18"/>
              </w:rPr>
              <w:t>Para cada responsable, fecha que está comprendida: 0 para el primer semestre del año, dentro del rango comprendido entre el quinto (5) día hábil y el décimo (10) día hábil del mes inmediatamente siguiente. Para el segundo semestre del año dentro del rango comprendido entre el primer (1) día hábil y el quinto (5) día hábil del mes de febrero de cada vigencia.</w:t>
            </w:r>
          </w:p>
        </w:tc>
        <w:tc>
          <w:tcPr>
            <w:tcW w:w="1620" w:type="dxa"/>
            <w:vMerge/>
            <w:tcBorders>
              <w:top w:val="dotted" w:sz="4" w:space="0" w:color="auto"/>
              <w:left w:val="dotted" w:sz="4" w:space="0" w:color="auto"/>
              <w:bottom w:val="dotted" w:sz="4" w:space="0" w:color="auto"/>
              <w:right w:val="dotted" w:sz="4" w:space="0" w:color="auto"/>
            </w:tcBorders>
            <w:vAlign w:val="center"/>
          </w:tcPr>
          <w:p w14:paraId="53C50F81" w14:textId="02F6AD23"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0" w:type="dxa"/>
            <w:tcBorders>
              <w:top w:val="dotted" w:sz="4" w:space="0" w:color="auto"/>
              <w:left w:val="dotted" w:sz="4" w:space="0" w:color="auto"/>
              <w:bottom w:val="dotted" w:sz="4" w:space="0" w:color="auto"/>
              <w:right w:val="dotted" w:sz="4" w:space="0" w:color="auto"/>
            </w:tcBorders>
            <w:vAlign w:val="center"/>
          </w:tcPr>
          <w:p w14:paraId="49F09796" w14:textId="7CB1673D"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Es la información relacionada con la gestión y resultados en la administración, manejo y rendimiento de fondos, bienes y recursos públicos por las entidades responsables de los recursos destinados para el posconflicto.</w:t>
            </w:r>
          </w:p>
        </w:tc>
      </w:tr>
      <w:tr w:rsidR="001B3B1D" w:rsidRPr="00F05FB8" w14:paraId="5762560D" w14:textId="77777777" w:rsidTr="00B25209">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985" w:type="dxa"/>
            <w:vMerge/>
            <w:tcBorders>
              <w:right w:val="dotted" w:sz="4" w:space="0" w:color="auto"/>
            </w:tcBorders>
            <w:vAlign w:val="center"/>
          </w:tcPr>
          <w:p w14:paraId="13409558" w14:textId="77777777" w:rsidR="001B3B1D" w:rsidRPr="00F05FB8" w:rsidRDefault="001B3B1D"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2FAE080B" w14:textId="18507724"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Información De Obras Inconclusas</w:t>
            </w:r>
          </w:p>
        </w:tc>
        <w:tc>
          <w:tcPr>
            <w:tcW w:w="2821" w:type="dxa"/>
            <w:tcBorders>
              <w:top w:val="dotted" w:sz="4" w:space="0" w:color="auto"/>
              <w:left w:val="dotted" w:sz="4" w:space="0" w:color="auto"/>
              <w:bottom w:val="dotted" w:sz="4" w:space="0" w:color="auto"/>
              <w:right w:val="dotted" w:sz="4" w:space="0" w:color="auto"/>
            </w:tcBorders>
            <w:vAlign w:val="center"/>
          </w:tcPr>
          <w:p w14:paraId="22BF3912" w14:textId="462C9FE5" w:rsidR="00897222" w:rsidRPr="004A4E40" w:rsidRDefault="00E97B54"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11" w:history="1">
              <w:r w:rsidRPr="004A4E40">
                <w:rPr>
                  <w:rStyle w:val="Hipervnculo"/>
                  <w:rFonts w:ascii="Arial" w:hAnsi="Arial" w:cs="Arial"/>
                  <w:sz w:val="18"/>
                  <w:szCs w:val="18"/>
                </w:rPr>
                <w:t xml:space="preserve">Ley 2020 </w:t>
              </w:r>
              <w:r w:rsidR="00897222" w:rsidRPr="004A4E40">
                <w:rPr>
                  <w:rStyle w:val="Hipervnculo"/>
                  <w:rFonts w:ascii="Arial" w:hAnsi="Arial" w:cs="Arial"/>
                  <w:sz w:val="18"/>
                  <w:szCs w:val="18"/>
                </w:rPr>
                <w:t>del</w:t>
              </w:r>
              <w:r w:rsidRPr="004A4E40">
                <w:rPr>
                  <w:rStyle w:val="Hipervnculo"/>
                  <w:rFonts w:ascii="Arial" w:hAnsi="Arial" w:cs="Arial"/>
                  <w:sz w:val="18"/>
                  <w:szCs w:val="18"/>
                </w:rPr>
                <w:t xml:space="preserve"> 17 </w:t>
              </w:r>
              <w:r w:rsidR="00897222" w:rsidRPr="004A4E40">
                <w:rPr>
                  <w:rStyle w:val="Hipervnculo"/>
                  <w:rFonts w:ascii="Arial" w:hAnsi="Arial" w:cs="Arial"/>
                  <w:sz w:val="18"/>
                  <w:szCs w:val="18"/>
                </w:rPr>
                <w:t>julio</w:t>
              </w:r>
              <w:r w:rsidRPr="004A4E40">
                <w:rPr>
                  <w:rStyle w:val="Hipervnculo"/>
                  <w:rFonts w:ascii="Arial" w:hAnsi="Arial" w:cs="Arial"/>
                  <w:sz w:val="18"/>
                  <w:szCs w:val="18"/>
                </w:rPr>
                <w:t xml:space="preserve"> </w:t>
              </w:r>
              <w:r w:rsidR="00897222" w:rsidRPr="004A4E40">
                <w:rPr>
                  <w:rStyle w:val="Hipervnculo"/>
                  <w:rFonts w:ascii="Arial" w:hAnsi="Arial" w:cs="Arial"/>
                  <w:sz w:val="18"/>
                  <w:szCs w:val="18"/>
                </w:rPr>
                <w:t>de</w:t>
              </w:r>
              <w:r w:rsidRPr="004A4E40">
                <w:rPr>
                  <w:rStyle w:val="Hipervnculo"/>
                  <w:rFonts w:ascii="Arial" w:hAnsi="Arial" w:cs="Arial"/>
                  <w:sz w:val="18"/>
                  <w:szCs w:val="18"/>
                </w:rPr>
                <w:t xml:space="preserve"> 2020</w:t>
              </w:r>
            </w:hyperlink>
          </w:p>
          <w:p w14:paraId="73CF70CF" w14:textId="77777777" w:rsidR="00823E03" w:rsidRPr="004A4E40" w:rsidRDefault="00823E03"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2FE4EFC6" w14:textId="778CE833" w:rsidR="00F05FB8" w:rsidRPr="004A4E40" w:rsidRDefault="000D281C"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12" w:history="1">
              <w:r w:rsidRPr="004A4E40">
                <w:rPr>
                  <w:rStyle w:val="Hipervnculo"/>
                  <w:rFonts w:ascii="Arial" w:hAnsi="Arial" w:cs="Arial"/>
                  <w:sz w:val="18"/>
                  <w:szCs w:val="18"/>
                </w:rPr>
                <w:t>Resolución orgánica N° 0066 de 2024 “</w:t>
              </w:r>
              <w:r w:rsidRPr="004A4E40">
                <w:rPr>
                  <w:rStyle w:val="Hipervnculo"/>
                  <w:rFonts w:ascii="Arial" w:hAnsi="Arial" w:cs="Arial"/>
                  <w:bCs/>
                  <w:i/>
                  <w:iCs/>
                  <w:sz w:val="18"/>
                  <w:szCs w:val="18"/>
                  <w:lang w:val="es-MX"/>
                </w:rPr>
                <w:t>Por la cual se subroga la Resolución Reglamentaria Orgánica número </w:t>
              </w:r>
              <w:r w:rsidRPr="004A4E40">
                <w:rPr>
                  <w:rStyle w:val="Hipervnculo"/>
                  <w:rFonts w:ascii="Arial" w:hAnsi="Arial" w:cs="Arial"/>
                  <w:i/>
                  <w:iCs/>
                  <w:sz w:val="18"/>
                  <w:szCs w:val="18"/>
                  <w:lang w:val="es-MX"/>
                </w:rPr>
                <w:t>064</w:t>
              </w:r>
              <w:r w:rsidRPr="004A4E40">
                <w:rPr>
                  <w:rStyle w:val="Hipervnculo"/>
                  <w:rFonts w:ascii="Arial" w:hAnsi="Arial" w:cs="Arial"/>
                  <w:bCs/>
                  <w:i/>
                  <w:iCs/>
                  <w:sz w:val="18"/>
                  <w:szCs w:val="18"/>
                  <w:lang w:val="es-MX"/>
                </w:rPr>
                <w:t xml:space="preserve"> de 2023 que reglamenta la rendición electrónica de la cuenta, los </w:t>
              </w:r>
              <w:r w:rsidRPr="004A4E40">
                <w:rPr>
                  <w:rStyle w:val="Hipervnculo"/>
                  <w:rFonts w:ascii="Arial" w:hAnsi="Arial" w:cs="Arial"/>
                  <w:bCs/>
                  <w:i/>
                  <w:iCs/>
                  <w:sz w:val="18"/>
                  <w:szCs w:val="18"/>
                  <w:lang w:val="es-MX"/>
                </w:rPr>
                <w:lastRenderedPageBreak/>
                <w:t>informes y otra información que realizan los sujetos de vigilancia y control fiscal de la Contraloría General de la</w:t>
              </w:r>
              <w:r w:rsidRPr="004A4E40">
                <w:rPr>
                  <w:rStyle w:val="Hipervnculo"/>
                  <w:rFonts w:ascii="Arial" w:hAnsi="Arial" w:cs="Arial"/>
                  <w:bCs/>
                  <w:sz w:val="18"/>
                  <w:szCs w:val="18"/>
                  <w:lang w:val="es-MX"/>
                </w:rPr>
                <w:t> </w:t>
              </w:r>
              <w:r w:rsidRPr="004A4E40">
                <w:rPr>
                  <w:rStyle w:val="Hipervnculo"/>
                  <w:rFonts w:ascii="Arial" w:hAnsi="Arial" w:cs="Arial"/>
                  <w:bCs/>
                  <w:i/>
                  <w:iCs/>
                  <w:sz w:val="18"/>
                  <w:szCs w:val="18"/>
                  <w:lang w:val="es-MX"/>
                </w:rPr>
                <w:t>República a través del Sistema de Rendición Electrónico de la Cuenta e Informes y Otra Información (Sireci)”.</w:t>
              </w:r>
            </w:hyperlink>
          </w:p>
          <w:p w14:paraId="427754E1" w14:textId="433B58E5" w:rsidR="00897222" w:rsidRPr="004A4E40" w:rsidRDefault="00897222"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560" w:type="dxa"/>
            <w:tcBorders>
              <w:top w:val="dotted" w:sz="4" w:space="0" w:color="auto"/>
              <w:left w:val="dotted" w:sz="4" w:space="0" w:color="auto"/>
              <w:bottom w:val="dotted" w:sz="4" w:space="0" w:color="auto"/>
              <w:right w:val="dotted" w:sz="4" w:space="0" w:color="auto"/>
            </w:tcBorders>
            <w:vAlign w:val="center"/>
          </w:tcPr>
          <w:p w14:paraId="77000F21" w14:textId="2BA8F31F" w:rsidR="001B3B1D" w:rsidRPr="00F05FB8" w:rsidRDefault="001B3B1D" w:rsidP="00B2520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5E777F">
              <w:rPr>
                <w:rFonts w:ascii="Arial" w:hAnsi="Arial" w:cs="Arial"/>
                <w:b/>
                <w:sz w:val="18"/>
                <w:szCs w:val="18"/>
              </w:rPr>
              <w:lastRenderedPageBreak/>
              <w:t>Mensual</w:t>
            </w:r>
          </w:p>
        </w:tc>
        <w:tc>
          <w:tcPr>
            <w:tcW w:w="3916" w:type="dxa"/>
            <w:tcBorders>
              <w:top w:val="dotted" w:sz="4" w:space="0" w:color="auto"/>
              <w:left w:val="dotted" w:sz="4" w:space="0" w:color="auto"/>
              <w:bottom w:val="dotted" w:sz="4" w:space="0" w:color="auto"/>
              <w:right w:val="dotted" w:sz="4" w:space="0" w:color="auto"/>
            </w:tcBorders>
            <w:vAlign w:val="center"/>
          </w:tcPr>
          <w:p w14:paraId="418B4A97" w14:textId="0EA2AB90"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E777F">
              <w:rPr>
                <w:rFonts w:ascii="Arial" w:hAnsi="Arial" w:cs="Arial"/>
                <w:sz w:val="18"/>
                <w:szCs w:val="18"/>
              </w:rPr>
              <w:t>Para cada entidad responsable, fecha que está comprendida, en el mes inmediatamente siguiente del período a reportar, dentro del rango comprendido entre el sexto (6) día hábil y el décimo (10) día hábil de cada mes.</w:t>
            </w:r>
          </w:p>
        </w:tc>
        <w:tc>
          <w:tcPr>
            <w:tcW w:w="1620" w:type="dxa"/>
            <w:vMerge/>
            <w:tcBorders>
              <w:top w:val="dotted" w:sz="4" w:space="0" w:color="auto"/>
              <w:left w:val="dotted" w:sz="4" w:space="0" w:color="auto"/>
              <w:bottom w:val="dotted" w:sz="4" w:space="0" w:color="auto"/>
              <w:right w:val="dotted" w:sz="4" w:space="0" w:color="auto"/>
            </w:tcBorders>
            <w:vAlign w:val="center"/>
          </w:tcPr>
          <w:p w14:paraId="58516B8F" w14:textId="2B6E4CF6"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0" w:type="dxa"/>
            <w:tcBorders>
              <w:top w:val="dotted" w:sz="4" w:space="0" w:color="auto"/>
              <w:left w:val="dotted" w:sz="4" w:space="0" w:color="auto"/>
              <w:bottom w:val="dotted" w:sz="4" w:space="0" w:color="auto"/>
              <w:right w:val="dotted" w:sz="4" w:space="0" w:color="auto"/>
            </w:tcBorders>
            <w:vAlign w:val="center"/>
          </w:tcPr>
          <w:p w14:paraId="46982F7B" w14:textId="5396A43F" w:rsidR="001B3B1D" w:rsidRPr="00F05FB8" w:rsidRDefault="001B3B1D"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Es la información que contiene la relación de obras civiles inconclusas</w:t>
            </w:r>
            <w:r w:rsidR="000073D7" w:rsidRPr="00F05FB8">
              <w:rPr>
                <w:rFonts w:ascii="Arial" w:hAnsi="Arial" w:cs="Arial"/>
                <w:sz w:val="18"/>
                <w:szCs w:val="18"/>
              </w:rPr>
              <w:t xml:space="preserve"> </w:t>
            </w:r>
            <w:r w:rsidRPr="00F05FB8">
              <w:rPr>
                <w:rFonts w:ascii="Arial" w:hAnsi="Arial" w:cs="Arial"/>
                <w:sz w:val="18"/>
                <w:szCs w:val="18"/>
              </w:rPr>
              <w:t>realizadas por parte de las entidades estatales del orden nacional, departamental, municipal, distrital y demás órdenes institucionales y particulares sujetos de vigilancia y control fiscal en una vigencia fiscal</w:t>
            </w:r>
            <w:r w:rsidR="000073D7" w:rsidRPr="00F05FB8">
              <w:rPr>
                <w:rFonts w:ascii="Arial" w:hAnsi="Arial" w:cs="Arial"/>
                <w:sz w:val="18"/>
                <w:szCs w:val="18"/>
              </w:rPr>
              <w:t xml:space="preserve"> </w:t>
            </w:r>
            <w:r w:rsidRPr="00F05FB8">
              <w:rPr>
                <w:rFonts w:ascii="Arial" w:hAnsi="Arial" w:cs="Arial"/>
                <w:sz w:val="18"/>
                <w:szCs w:val="18"/>
              </w:rPr>
              <w:t>determinada, de conformidad con lo establecido en la Ley.</w:t>
            </w:r>
          </w:p>
        </w:tc>
      </w:tr>
      <w:tr w:rsidR="001B3B1D" w:rsidRPr="00F05FB8" w14:paraId="55112E3C" w14:textId="77777777" w:rsidTr="000175AF">
        <w:trPr>
          <w:trHeight w:val="488"/>
        </w:trPr>
        <w:tc>
          <w:tcPr>
            <w:cnfStyle w:val="001000000000" w:firstRow="0" w:lastRow="0" w:firstColumn="1" w:lastColumn="0" w:oddVBand="0" w:evenVBand="0" w:oddHBand="0" w:evenHBand="0" w:firstRowFirstColumn="0" w:firstRowLastColumn="0" w:lastRowFirstColumn="0" w:lastRowLastColumn="0"/>
            <w:tcW w:w="1985" w:type="dxa"/>
            <w:vMerge/>
            <w:tcBorders>
              <w:bottom w:val="nil"/>
              <w:right w:val="dotted" w:sz="4" w:space="0" w:color="auto"/>
            </w:tcBorders>
            <w:vAlign w:val="center"/>
          </w:tcPr>
          <w:p w14:paraId="2EF152F4" w14:textId="77777777" w:rsidR="001B3B1D" w:rsidRPr="00F05FB8" w:rsidRDefault="001B3B1D"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7FF836F" w14:textId="12CC2D59" w:rsidR="001B3B1D" w:rsidRPr="005E777F"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E777F">
              <w:rPr>
                <w:rFonts w:ascii="Arial" w:hAnsi="Arial" w:cs="Arial"/>
                <w:sz w:val="18"/>
                <w:szCs w:val="18"/>
              </w:rPr>
              <w:t>Información de los Procesos Penales por Delitos Contra la Administración</w:t>
            </w:r>
          </w:p>
          <w:p w14:paraId="7B0833CD" w14:textId="61DBC3C0" w:rsidR="001B3B1D" w:rsidRPr="005E777F"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E777F">
              <w:rPr>
                <w:rFonts w:ascii="Arial" w:hAnsi="Arial" w:cs="Arial"/>
                <w:sz w:val="18"/>
                <w:szCs w:val="18"/>
              </w:rPr>
              <w:t>Pública o que Afecten los Intereses Patrimoniales del Estado</w:t>
            </w:r>
          </w:p>
        </w:tc>
        <w:tc>
          <w:tcPr>
            <w:tcW w:w="2821" w:type="dxa"/>
            <w:tcBorders>
              <w:top w:val="dotted" w:sz="4" w:space="0" w:color="auto"/>
              <w:left w:val="dotted" w:sz="4" w:space="0" w:color="auto"/>
              <w:bottom w:val="dotted" w:sz="4" w:space="0" w:color="auto"/>
              <w:right w:val="dotted" w:sz="4" w:space="0" w:color="auto"/>
            </w:tcBorders>
            <w:vAlign w:val="center"/>
          </w:tcPr>
          <w:p w14:paraId="04B84586" w14:textId="73B4E8E8" w:rsidR="001B3B1D" w:rsidRPr="004A4E40" w:rsidRDefault="000D281C"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13" w:history="1">
              <w:r w:rsidRPr="004A4E40">
                <w:rPr>
                  <w:rStyle w:val="Hipervnculo"/>
                  <w:rFonts w:ascii="Arial" w:hAnsi="Arial" w:cs="Arial"/>
                  <w:sz w:val="18"/>
                  <w:szCs w:val="18"/>
                </w:rPr>
                <w:t>Resolución orgánica N° 0066 de 2024 “</w:t>
              </w:r>
              <w:r w:rsidRPr="004A4E40">
                <w:rPr>
                  <w:rStyle w:val="Hipervnculo"/>
                  <w:rFonts w:ascii="Arial" w:hAnsi="Arial" w:cs="Arial"/>
                  <w:bCs/>
                  <w:i/>
                  <w:iCs/>
                  <w:sz w:val="18"/>
                  <w:szCs w:val="18"/>
                  <w:lang w:val="es-MX"/>
                </w:rPr>
                <w:t>Por la cual se subroga la Resolución Reglamentaria Orgánica número </w:t>
              </w:r>
              <w:r w:rsidRPr="004A4E40">
                <w:rPr>
                  <w:rStyle w:val="Hipervnculo"/>
                  <w:rFonts w:ascii="Arial" w:hAnsi="Arial" w:cs="Arial"/>
                  <w:i/>
                  <w:iCs/>
                  <w:sz w:val="18"/>
                  <w:szCs w:val="18"/>
                  <w:lang w:val="es-MX"/>
                </w:rPr>
                <w:t>064</w:t>
              </w:r>
              <w:r w:rsidRPr="004A4E40">
                <w:rPr>
                  <w:rStyle w:val="Hipervnculo"/>
                  <w:rFonts w:ascii="Arial" w:hAnsi="Arial" w:cs="Arial"/>
                  <w:bCs/>
                  <w:i/>
                  <w:iCs/>
                  <w:sz w:val="18"/>
                  <w:szCs w:val="18"/>
                  <w:lang w:val="es-MX"/>
                </w:rPr>
                <w:t> de 2023 que reglamenta la rendición electrónica de la cuenta, los informes y otra información que realizan los sujetos de vigilancia y control fiscal de la Contraloría General de la</w:t>
              </w:r>
              <w:r w:rsidRPr="004A4E40">
                <w:rPr>
                  <w:rStyle w:val="Hipervnculo"/>
                  <w:rFonts w:ascii="Arial" w:hAnsi="Arial" w:cs="Arial"/>
                  <w:bCs/>
                  <w:sz w:val="18"/>
                  <w:szCs w:val="18"/>
                  <w:lang w:val="es-MX"/>
                </w:rPr>
                <w:t> </w:t>
              </w:r>
              <w:r w:rsidRPr="004A4E40">
                <w:rPr>
                  <w:rStyle w:val="Hipervnculo"/>
                  <w:rFonts w:ascii="Arial" w:hAnsi="Arial" w:cs="Arial"/>
                  <w:bCs/>
                  <w:i/>
                  <w:iCs/>
                  <w:sz w:val="18"/>
                  <w:szCs w:val="18"/>
                  <w:lang w:val="es-MX"/>
                </w:rPr>
                <w:t>República a través del Sistema de Rendición Electrónico de la Cuenta e Informes y Otra Información (Sireci)”.</w:t>
              </w:r>
            </w:hyperlink>
          </w:p>
        </w:tc>
        <w:tc>
          <w:tcPr>
            <w:tcW w:w="1560" w:type="dxa"/>
            <w:tcBorders>
              <w:top w:val="dotted" w:sz="4" w:space="0" w:color="auto"/>
              <w:left w:val="dotted" w:sz="4" w:space="0" w:color="auto"/>
              <w:bottom w:val="dotted" w:sz="4" w:space="0" w:color="auto"/>
              <w:right w:val="dotted" w:sz="4" w:space="0" w:color="auto"/>
            </w:tcBorders>
            <w:vAlign w:val="center"/>
          </w:tcPr>
          <w:p w14:paraId="2C4FD782" w14:textId="13A0C9E5" w:rsidR="001B3B1D" w:rsidRPr="009538BA" w:rsidRDefault="001B3B1D" w:rsidP="00B2520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9538BA">
              <w:rPr>
                <w:rFonts w:ascii="Arial" w:hAnsi="Arial" w:cs="Arial"/>
                <w:b/>
                <w:sz w:val="18"/>
                <w:szCs w:val="18"/>
              </w:rPr>
              <w:t>Semestral</w:t>
            </w:r>
          </w:p>
        </w:tc>
        <w:tc>
          <w:tcPr>
            <w:tcW w:w="3916" w:type="dxa"/>
            <w:tcBorders>
              <w:top w:val="dotted" w:sz="4" w:space="0" w:color="auto"/>
              <w:left w:val="dotted" w:sz="4" w:space="0" w:color="auto"/>
              <w:bottom w:val="dotted" w:sz="4" w:space="0" w:color="auto"/>
              <w:right w:val="dotted" w:sz="4" w:space="0" w:color="auto"/>
            </w:tcBorders>
            <w:vAlign w:val="center"/>
          </w:tcPr>
          <w:p w14:paraId="0E0B680D" w14:textId="3CFEAB00"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E777F">
              <w:rPr>
                <w:rFonts w:ascii="Arial" w:hAnsi="Arial" w:cs="Arial"/>
                <w:sz w:val="18"/>
                <w:szCs w:val="18"/>
              </w:rPr>
              <w:t>Para cada responsable, fecha que está comprendida, en el semestre siguiente al de rendición, dentro del rango comprendido entre el quinto (5) día hábil y el décimo (10) día hábil del mes inmediatamente siguiente al semestre del período a rendir.</w:t>
            </w:r>
          </w:p>
        </w:tc>
        <w:tc>
          <w:tcPr>
            <w:tcW w:w="1620" w:type="dxa"/>
            <w:vMerge/>
            <w:tcBorders>
              <w:top w:val="dotted" w:sz="4" w:space="0" w:color="auto"/>
              <w:left w:val="dotted" w:sz="4" w:space="0" w:color="auto"/>
              <w:bottom w:val="dotted" w:sz="4" w:space="0" w:color="auto"/>
              <w:right w:val="dotted" w:sz="4" w:space="0" w:color="auto"/>
            </w:tcBorders>
            <w:vAlign w:val="center"/>
          </w:tcPr>
          <w:p w14:paraId="66A37BAF" w14:textId="77777777"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0" w:type="dxa"/>
            <w:tcBorders>
              <w:top w:val="dotted" w:sz="4" w:space="0" w:color="auto"/>
              <w:left w:val="dotted" w:sz="4" w:space="0" w:color="auto"/>
              <w:bottom w:val="dotted" w:sz="4" w:space="0" w:color="auto"/>
              <w:right w:val="dotted" w:sz="4" w:space="0" w:color="auto"/>
            </w:tcBorders>
            <w:vAlign w:val="center"/>
          </w:tcPr>
          <w:p w14:paraId="18D593D3" w14:textId="77777777"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Es la información que contiene la gestión y resultados de las entidades</w:t>
            </w:r>
          </w:p>
          <w:p w14:paraId="28CCD4EC" w14:textId="3A91A8B1" w:rsidR="001B3B1D" w:rsidRPr="00F05FB8" w:rsidRDefault="001B3B1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públicas del orden nacional y territorial, relativas a la participación como víctima o parte civil en los procesos penales por delitos contra la administración pública o que afecten los intereses patrimoniales del Estado, en que puedan tener interés legítimo, dada la naturaleza del hecho investigado y la fuente de financiación, cuya vigilancia y fiscalización corresponde por ley a este órgano de control.</w:t>
            </w:r>
          </w:p>
        </w:tc>
      </w:tr>
      <w:tr w:rsidR="001C49B9" w:rsidRPr="00F05FB8" w14:paraId="62FAC925" w14:textId="77777777" w:rsidTr="000175AF">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shd w:val="clear" w:color="auto" w:fill="auto"/>
            <w:vAlign w:val="center"/>
          </w:tcPr>
          <w:p w14:paraId="0E2D9E40" w14:textId="77777777" w:rsidR="001C49B9" w:rsidRPr="00F05FB8" w:rsidRDefault="001C49B9"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071CBFA4" w14:textId="2B448E34" w:rsidR="001C49B9" w:rsidRPr="00F05FB8" w:rsidRDefault="00BF02C4"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E5D74">
              <w:rPr>
                <w:rFonts w:ascii="Arial" w:hAnsi="Arial" w:cs="Arial"/>
                <w:sz w:val="18"/>
                <w:szCs w:val="18"/>
              </w:rPr>
              <w:t>Medición del Desempeño Institucional</w:t>
            </w:r>
          </w:p>
        </w:tc>
        <w:tc>
          <w:tcPr>
            <w:tcW w:w="2821" w:type="dxa"/>
            <w:tcBorders>
              <w:top w:val="dotted" w:sz="4" w:space="0" w:color="auto"/>
              <w:left w:val="dotted" w:sz="4" w:space="0" w:color="auto"/>
              <w:bottom w:val="dotted" w:sz="4" w:space="0" w:color="auto"/>
              <w:right w:val="dotted" w:sz="4" w:space="0" w:color="auto"/>
            </w:tcBorders>
            <w:vAlign w:val="center"/>
          </w:tcPr>
          <w:p w14:paraId="6AB0A126" w14:textId="1C244EDE" w:rsidR="001C49B9" w:rsidRPr="004A4E40" w:rsidRDefault="00BF02C4"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14" w:history="1">
              <w:r w:rsidRPr="004A4E40">
                <w:rPr>
                  <w:rStyle w:val="Hipervnculo"/>
                  <w:rFonts w:ascii="Arial" w:hAnsi="Arial" w:cs="Arial"/>
                  <w:sz w:val="18"/>
                  <w:szCs w:val="18"/>
                </w:rPr>
                <w:t xml:space="preserve">Decreto 1083 de 2015, </w:t>
              </w:r>
              <w:r w:rsidR="00351F30" w:rsidRPr="004A4E40">
                <w:rPr>
                  <w:rStyle w:val="Hipervnculo"/>
                  <w:rFonts w:ascii="Arial" w:hAnsi="Arial" w:cs="Arial"/>
                  <w:sz w:val="18"/>
                  <w:szCs w:val="18"/>
                </w:rPr>
                <w:t>Artículo 2.2.22.3.10</w:t>
              </w:r>
            </w:hyperlink>
          </w:p>
          <w:p w14:paraId="0022E4AC" w14:textId="77777777" w:rsidR="00351F30" w:rsidRPr="004A4E40" w:rsidRDefault="00351F30"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74F0A781" w14:textId="1F909006" w:rsidR="00351F30" w:rsidRPr="004A4E40" w:rsidRDefault="00351F30"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4A4E40">
              <w:rPr>
                <w:rFonts w:ascii="Arial" w:hAnsi="Arial" w:cs="Arial"/>
                <w:sz w:val="18"/>
                <w:szCs w:val="18"/>
              </w:rPr>
              <w:t>Circular</w:t>
            </w:r>
            <w:r w:rsidR="00F420DB" w:rsidRPr="004A4E40">
              <w:rPr>
                <w:rFonts w:ascii="Arial" w:hAnsi="Arial" w:cs="Arial"/>
                <w:sz w:val="18"/>
                <w:szCs w:val="18"/>
              </w:rPr>
              <w:t xml:space="preserve">es </w:t>
            </w:r>
            <w:r w:rsidRPr="004A4E40">
              <w:rPr>
                <w:rFonts w:ascii="Arial" w:hAnsi="Arial" w:cs="Arial"/>
                <w:sz w:val="18"/>
                <w:szCs w:val="18"/>
              </w:rPr>
              <w:t>Anuales</w:t>
            </w:r>
            <w:r w:rsidR="00F420DB" w:rsidRPr="004A4E40">
              <w:rPr>
                <w:rFonts w:ascii="Arial" w:hAnsi="Arial" w:cs="Arial"/>
                <w:sz w:val="18"/>
                <w:szCs w:val="18"/>
              </w:rPr>
              <w:t xml:space="preserve"> </w:t>
            </w:r>
            <w:r w:rsidRPr="004A4E40">
              <w:rPr>
                <w:rFonts w:ascii="Arial" w:hAnsi="Arial" w:cs="Arial"/>
                <w:sz w:val="18"/>
                <w:szCs w:val="18"/>
              </w:rPr>
              <w:t>Reglamentarias</w:t>
            </w:r>
          </w:p>
        </w:tc>
        <w:tc>
          <w:tcPr>
            <w:tcW w:w="1560" w:type="dxa"/>
            <w:tcBorders>
              <w:top w:val="dotted" w:sz="4" w:space="0" w:color="auto"/>
              <w:left w:val="dotted" w:sz="4" w:space="0" w:color="auto"/>
              <w:bottom w:val="dotted" w:sz="4" w:space="0" w:color="auto"/>
              <w:right w:val="dotted" w:sz="4" w:space="0" w:color="auto"/>
            </w:tcBorders>
            <w:vAlign w:val="center"/>
          </w:tcPr>
          <w:p w14:paraId="4F56F127" w14:textId="5CAC1DC5" w:rsidR="001C49B9" w:rsidRPr="00F05FB8" w:rsidRDefault="00351F30" w:rsidP="00B2520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DE5D74">
              <w:rPr>
                <w:rFonts w:ascii="Arial" w:hAnsi="Arial" w:cs="Arial"/>
                <w:b/>
                <w:sz w:val="18"/>
                <w:szCs w:val="18"/>
              </w:rPr>
              <w:t>Anual</w:t>
            </w:r>
          </w:p>
        </w:tc>
        <w:tc>
          <w:tcPr>
            <w:tcW w:w="3916" w:type="dxa"/>
            <w:tcBorders>
              <w:top w:val="dotted" w:sz="4" w:space="0" w:color="auto"/>
              <w:left w:val="dotted" w:sz="4" w:space="0" w:color="auto"/>
              <w:bottom w:val="dotted" w:sz="4" w:space="0" w:color="auto"/>
              <w:right w:val="dotted" w:sz="4" w:space="0" w:color="auto"/>
            </w:tcBorders>
            <w:vAlign w:val="center"/>
          </w:tcPr>
          <w:p w14:paraId="556E5795" w14:textId="39497FDF" w:rsidR="001C49B9" w:rsidRPr="00F05FB8" w:rsidRDefault="004433F2"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E5D74">
              <w:rPr>
                <w:rFonts w:ascii="Arial" w:hAnsi="Arial" w:cs="Arial"/>
                <w:sz w:val="18"/>
                <w:szCs w:val="18"/>
              </w:rPr>
              <w:t>Conforme al cronograma establecido por el Departamento Administrativo de la Función Pública para cada vigencia</w:t>
            </w:r>
          </w:p>
        </w:tc>
        <w:tc>
          <w:tcPr>
            <w:tcW w:w="1620" w:type="dxa"/>
            <w:tcBorders>
              <w:top w:val="dotted" w:sz="4" w:space="0" w:color="auto"/>
              <w:left w:val="dotted" w:sz="4" w:space="0" w:color="auto"/>
              <w:bottom w:val="dotted" w:sz="4" w:space="0" w:color="auto"/>
              <w:right w:val="dotted" w:sz="4" w:space="0" w:color="auto"/>
            </w:tcBorders>
            <w:vAlign w:val="center"/>
          </w:tcPr>
          <w:p w14:paraId="0522D6FC" w14:textId="5AB3DFC7" w:rsidR="001C49B9" w:rsidRPr="00F05FB8" w:rsidRDefault="004433F2"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Departamento Administrativo de la</w:t>
            </w:r>
            <w:r w:rsidR="000037C1" w:rsidRPr="00F05FB8">
              <w:rPr>
                <w:rFonts w:ascii="Arial" w:hAnsi="Arial" w:cs="Arial"/>
                <w:sz w:val="18"/>
                <w:szCs w:val="18"/>
              </w:rPr>
              <w:t xml:space="preserve"> </w:t>
            </w:r>
            <w:r w:rsidRPr="00F05FB8">
              <w:rPr>
                <w:rFonts w:ascii="Arial" w:hAnsi="Arial" w:cs="Arial"/>
                <w:sz w:val="18"/>
                <w:szCs w:val="18"/>
              </w:rPr>
              <w:t>Función Pública</w:t>
            </w:r>
            <w:r w:rsidR="000037C1" w:rsidRPr="00F05FB8">
              <w:rPr>
                <w:rFonts w:ascii="Arial" w:hAnsi="Arial" w:cs="Arial"/>
                <w:sz w:val="18"/>
                <w:szCs w:val="18"/>
              </w:rPr>
              <w:t xml:space="preserve"> </w:t>
            </w:r>
            <w:r w:rsidRPr="00F05FB8">
              <w:rPr>
                <w:rFonts w:ascii="Arial" w:hAnsi="Arial" w:cs="Arial"/>
                <w:sz w:val="18"/>
                <w:szCs w:val="18"/>
              </w:rPr>
              <w:t>y entidades líderes de las políticas de gestión</w:t>
            </w:r>
            <w:r w:rsidR="000037C1" w:rsidRPr="00F05FB8">
              <w:rPr>
                <w:rFonts w:ascii="Arial" w:hAnsi="Arial" w:cs="Arial"/>
                <w:sz w:val="18"/>
                <w:szCs w:val="18"/>
              </w:rPr>
              <w:t xml:space="preserve"> </w:t>
            </w:r>
            <w:r w:rsidRPr="00F05FB8">
              <w:rPr>
                <w:rFonts w:ascii="Arial" w:hAnsi="Arial" w:cs="Arial"/>
                <w:sz w:val="18"/>
                <w:szCs w:val="18"/>
              </w:rPr>
              <w:t>y desempeño que integran</w:t>
            </w:r>
            <w:r w:rsidR="000037C1" w:rsidRPr="00F05FB8">
              <w:rPr>
                <w:rFonts w:ascii="Arial" w:hAnsi="Arial" w:cs="Arial"/>
                <w:sz w:val="18"/>
                <w:szCs w:val="18"/>
              </w:rPr>
              <w:t xml:space="preserve"> </w:t>
            </w:r>
            <w:r w:rsidRPr="00F05FB8">
              <w:rPr>
                <w:rFonts w:ascii="Arial" w:hAnsi="Arial" w:cs="Arial"/>
                <w:sz w:val="18"/>
                <w:szCs w:val="18"/>
              </w:rPr>
              <w:t>el Modelo Integrado de Planeación y Gestión</w:t>
            </w:r>
          </w:p>
        </w:tc>
        <w:tc>
          <w:tcPr>
            <w:tcW w:w="5400" w:type="dxa"/>
            <w:tcBorders>
              <w:top w:val="dotted" w:sz="4" w:space="0" w:color="auto"/>
              <w:left w:val="dotted" w:sz="4" w:space="0" w:color="auto"/>
              <w:bottom w:val="dotted" w:sz="4" w:space="0" w:color="auto"/>
              <w:right w:val="dotted" w:sz="4" w:space="0" w:color="auto"/>
            </w:tcBorders>
            <w:vAlign w:val="center"/>
          </w:tcPr>
          <w:p w14:paraId="1798A241" w14:textId="77777777" w:rsidR="001C49B9" w:rsidRPr="00F05FB8" w:rsidRDefault="00273D46"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Medir anualmente la gestión y el desempeño de las entidades públicas del orden nacional y territorial en el marco de los criterios y estructura</w:t>
            </w:r>
            <w:r w:rsidR="00013DC5" w:rsidRPr="00F05FB8">
              <w:rPr>
                <w:rFonts w:ascii="Arial" w:hAnsi="Arial" w:cs="Arial"/>
                <w:sz w:val="18"/>
                <w:szCs w:val="18"/>
              </w:rPr>
              <w:t xml:space="preserve"> </w:t>
            </w:r>
            <w:r w:rsidRPr="00F05FB8">
              <w:rPr>
                <w:rFonts w:ascii="Arial" w:hAnsi="Arial" w:cs="Arial"/>
                <w:sz w:val="18"/>
                <w:szCs w:val="18"/>
              </w:rPr>
              <w:t>temática, tanto de MIPG como de MECI.</w:t>
            </w:r>
          </w:p>
          <w:p w14:paraId="5E5FB825" w14:textId="77777777" w:rsidR="00013DC5" w:rsidRPr="00F05FB8" w:rsidRDefault="00013DC5"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249E2B95" w14:textId="71595011" w:rsidR="00013DC5" w:rsidRPr="00F05FB8" w:rsidRDefault="00013DC5"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La recolección de información necesaria para dicha medición se hará a través del Formulario Único de Reporte y Avance de Gestión (FURAG)</w:t>
            </w:r>
          </w:p>
        </w:tc>
      </w:tr>
      <w:tr w:rsidR="009F4537" w:rsidRPr="00F05FB8" w14:paraId="155D9E5C" w14:textId="77777777" w:rsidTr="000175AF">
        <w:trPr>
          <w:trHeight w:val="488"/>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vAlign w:val="center"/>
          </w:tcPr>
          <w:p w14:paraId="4BCAB022" w14:textId="77777777" w:rsidR="009F4537" w:rsidRPr="00F05FB8" w:rsidRDefault="009F4537"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1146E242" w14:textId="2814ED08" w:rsidR="009F4537" w:rsidRPr="00F05FB8" w:rsidRDefault="009F4537"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5D74">
              <w:rPr>
                <w:rFonts w:ascii="Arial" w:hAnsi="Arial" w:cs="Arial"/>
                <w:sz w:val="18"/>
                <w:szCs w:val="18"/>
              </w:rPr>
              <w:t>Informe</w:t>
            </w:r>
            <w:r w:rsidR="00B45660" w:rsidRPr="00DE5D74">
              <w:rPr>
                <w:rFonts w:ascii="Arial" w:hAnsi="Arial" w:cs="Arial"/>
                <w:sz w:val="18"/>
                <w:szCs w:val="18"/>
              </w:rPr>
              <w:t xml:space="preserve"> </w:t>
            </w:r>
            <w:r w:rsidR="00431CCD" w:rsidRPr="00DE5D74">
              <w:rPr>
                <w:rFonts w:ascii="Arial" w:hAnsi="Arial" w:cs="Arial"/>
                <w:sz w:val="18"/>
                <w:szCs w:val="18"/>
              </w:rPr>
              <w:t>Semestral de Evaluación</w:t>
            </w:r>
            <w:r w:rsidR="00B45660" w:rsidRPr="00DE5D74">
              <w:rPr>
                <w:rFonts w:ascii="Arial" w:hAnsi="Arial" w:cs="Arial"/>
                <w:sz w:val="18"/>
                <w:szCs w:val="18"/>
              </w:rPr>
              <w:t xml:space="preserve"> </w:t>
            </w:r>
            <w:r w:rsidR="00431CCD" w:rsidRPr="00DE5D74">
              <w:rPr>
                <w:rFonts w:ascii="Arial" w:hAnsi="Arial" w:cs="Arial"/>
                <w:sz w:val="18"/>
                <w:szCs w:val="18"/>
              </w:rPr>
              <w:t xml:space="preserve">Independiente del Estado del </w:t>
            </w:r>
            <w:r w:rsidRPr="00DE5D74">
              <w:rPr>
                <w:rFonts w:ascii="Arial" w:hAnsi="Arial" w:cs="Arial"/>
                <w:sz w:val="18"/>
                <w:szCs w:val="18"/>
              </w:rPr>
              <w:t xml:space="preserve">Sistema </w:t>
            </w:r>
            <w:r w:rsidR="00431CCD" w:rsidRPr="00DE5D74">
              <w:rPr>
                <w:rFonts w:ascii="Arial" w:hAnsi="Arial" w:cs="Arial"/>
                <w:sz w:val="18"/>
                <w:szCs w:val="18"/>
              </w:rPr>
              <w:t xml:space="preserve">de </w:t>
            </w:r>
            <w:r w:rsidRPr="00DE5D74">
              <w:rPr>
                <w:rFonts w:ascii="Arial" w:hAnsi="Arial" w:cs="Arial"/>
                <w:sz w:val="18"/>
                <w:szCs w:val="18"/>
              </w:rPr>
              <w:t xml:space="preserve">Control </w:t>
            </w:r>
            <w:r w:rsidR="00431CCD" w:rsidRPr="00DE5D74">
              <w:rPr>
                <w:rFonts w:ascii="Arial" w:hAnsi="Arial" w:cs="Arial"/>
                <w:sz w:val="18"/>
                <w:szCs w:val="18"/>
              </w:rPr>
              <w:t>Interno</w:t>
            </w:r>
          </w:p>
          <w:p w14:paraId="41A6F6C0" w14:textId="77777777" w:rsidR="00B45660" w:rsidRPr="00F05FB8" w:rsidRDefault="00B45660"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p w14:paraId="39D3DD65" w14:textId="45D619C2" w:rsidR="009F4537" w:rsidRPr="00F05FB8" w:rsidRDefault="009F4537"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i/>
                <w:sz w:val="18"/>
                <w:szCs w:val="18"/>
              </w:rPr>
              <w:lastRenderedPageBreak/>
              <w:t>(Anterior Informe Pormenorizado de Control Interno)</w:t>
            </w:r>
          </w:p>
        </w:tc>
        <w:tc>
          <w:tcPr>
            <w:tcW w:w="2821" w:type="dxa"/>
            <w:tcBorders>
              <w:top w:val="dotted" w:sz="4" w:space="0" w:color="auto"/>
              <w:left w:val="dotted" w:sz="4" w:space="0" w:color="auto"/>
              <w:bottom w:val="dotted" w:sz="4" w:space="0" w:color="auto"/>
              <w:right w:val="dotted" w:sz="4" w:space="0" w:color="auto"/>
            </w:tcBorders>
            <w:vAlign w:val="center"/>
          </w:tcPr>
          <w:p w14:paraId="72CF830C" w14:textId="77777777" w:rsidR="00637C67" w:rsidRPr="004A4E40" w:rsidRDefault="00637C67" w:rsidP="00637C6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15" w:anchor="9" w:history="1">
              <w:r w:rsidRPr="004A4E40">
                <w:rPr>
                  <w:rStyle w:val="Hipervnculo"/>
                  <w:rFonts w:ascii="Arial" w:hAnsi="Arial" w:cs="Arial"/>
                  <w:sz w:val="18"/>
                  <w:szCs w:val="18"/>
                </w:rPr>
                <w:t>Ley 1474 de 2011 art. 9</w:t>
              </w:r>
            </w:hyperlink>
            <w:r w:rsidRPr="004A4E40">
              <w:rPr>
                <w:rFonts w:ascii="Arial" w:hAnsi="Arial" w:cs="Arial"/>
                <w:sz w:val="18"/>
                <w:szCs w:val="18"/>
              </w:rPr>
              <w:t xml:space="preserve"> modificado por el </w:t>
            </w:r>
            <w:hyperlink r:id="rId16" w:anchor="156" w:history="1">
              <w:r w:rsidRPr="004A4E40">
                <w:rPr>
                  <w:rStyle w:val="Hipervnculo"/>
                  <w:rFonts w:ascii="Arial" w:hAnsi="Arial" w:cs="Arial"/>
                  <w:sz w:val="18"/>
                  <w:szCs w:val="18"/>
                </w:rPr>
                <w:t>Decreto 2106 de 2019. Artículo 156</w:t>
              </w:r>
            </w:hyperlink>
          </w:p>
          <w:p w14:paraId="1DE350AF" w14:textId="77777777" w:rsidR="00637C67" w:rsidRPr="004A4E40" w:rsidRDefault="00637C67" w:rsidP="00637C6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349AFDA7" w14:textId="77777777" w:rsidR="00637C67" w:rsidRPr="004A4E40" w:rsidRDefault="00637C67" w:rsidP="00637C6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17" w:history="1">
              <w:r w:rsidRPr="004A4E40">
                <w:rPr>
                  <w:rStyle w:val="Hipervnculo"/>
                  <w:rFonts w:ascii="Arial" w:hAnsi="Arial" w:cs="Arial"/>
                  <w:sz w:val="18"/>
                  <w:szCs w:val="18"/>
                </w:rPr>
                <w:t>Circular Externa No. 100 – 006 de 2019 de Función Pública</w:t>
              </w:r>
            </w:hyperlink>
          </w:p>
          <w:p w14:paraId="3901AC5C" w14:textId="77777777" w:rsidR="00637C67" w:rsidRPr="004A4E40" w:rsidRDefault="00637C67" w:rsidP="00637C6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67259119" w14:textId="103E2436" w:rsidR="009F4537" w:rsidRPr="004A4E40" w:rsidRDefault="00637C67" w:rsidP="00637C6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18" w:anchor="14" w:history="1">
              <w:r w:rsidRPr="004A4E40">
                <w:rPr>
                  <w:rStyle w:val="Hipervnculo"/>
                  <w:rFonts w:ascii="Arial" w:hAnsi="Arial" w:cs="Arial"/>
                  <w:sz w:val="18"/>
                  <w:szCs w:val="18"/>
                </w:rPr>
                <w:t>Ley 87 de 1993, Articulo 14</w:t>
              </w:r>
            </w:hyperlink>
            <w:r w:rsidRPr="004A4E40">
              <w:rPr>
                <w:rFonts w:ascii="Arial" w:hAnsi="Arial" w:cs="Arial"/>
                <w:sz w:val="18"/>
                <w:szCs w:val="18"/>
              </w:rPr>
              <w:t xml:space="preserve"> (modificado por el </w:t>
            </w:r>
            <w:hyperlink r:id="rId19" w:anchor="156" w:history="1">
              <w:r w:rsidRPr="004A4E40">
                <w:rPr>
                  <w:rStyle w:val="Hipervnculo"/>
                  <w:rFonts w:ascii="Arial" w:hAnsi="Arial" w:cs="Arial"/>
                  <w:sz w:val="18"/>
                  <w:szCs w:val="18"/>
                </w:rPr>
                <w:t>Decreto 2106 de 2019. Artículo 156</w:t>
              </w:r>
            </w:hyperlink>
            <w:r w:rsidRPr="004A4E40">
              <w:rPr>
                <w:rFonts w:ascii="Arial" w:hAnsi="Arial" w:cs="Arial"/>
                <w:sz w:val="18"/>
                <w:szCs w:val="18"/>
              </w:rPr>
              <w:t>).</w:t>
            </w:r>
          </w:p>
          <w:p w14:paraId="4A104735" w14:textId="77777777" w:rsidR="00EE28FC" w:rsidRPr="004A4E40" w:rsidRDefault="00EE28FC"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0FE14BC1" w14:textId="2BB2512B" w:rsidR="00EE28FC" w:rsidRPr="004A4E40" w:rsidRDefault="00EE28FC"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560" w:type="dxa"/>
            <w:tcBorders>
              <w:top w:val="dotted" w:sz="4" w:space="0" w:color="auto"/>
              <w:left w:val="dotted" w:sz="4" w:space="0" w:color="auto"/>
              <w:bottom w:val="dotted" w:sz="4" w:space="0" w:color="auto"/>
              <w:right w:val="dotted" w:sz="4" w:space="0" w:color="auto"/>
            </w:tcBorders>
            <w:vAlign w:val="center"/>
          </w:tcPr>
          <w:p w14:paraId="5123D958" w14:textId="0FDDA83C" w:rsidR="009F4537" w:rsidRPr="00F05FB8" w:rsidRDefault="00B45660" w:rsidP="00B2520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F05FB8">
              <w:rPr>
                <w:rFonts w:ascii="Arial" w:hAnsi="Arial" w:cs="Arial"/>
                <w:b/>
                <w:sz w:val="18"/>
                <w:szCs w:val="18"/>
              </w:rPr>
              <w:lastRenderedPageBreak/>
              <w:t>Semestral</w:t>
            </w:r>
          </w:p>
        </w:tc>
        <w:tc>
          <w:tcPr>
            <w:tcW w:w="3916" w:type="dxa"/>
            <w:tcBorders>
              <w:top w:val="dotted" w:sz="4" w:space="0" w:color="auto"/>
              <w:left w:val="dotted" w:sz="4" w:space="0" w:color="auto"/>
              <w:bottom w:val="dotted" w:sz="4" w:space="0" w:color="auto"/>
              <w:right w:val="dotted" w:sz="4" w:space="0" w:color="auto"/>
            </w:tcBorders>
            <w:vAlign w:val="center"/>
          </w:tcPr>
          <w:p w14:paraId="306CD089" w14:textId="2003C0FA" w:rsidR="009F4537" w:rsidRPr="00F05FB8" w:rsidRDefault="00E8468C"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5D74">
              <w:rPr>
                <w:rFonts w:ascii="Arial" w:hAnsi="Arial" w:cs="Arial"/>
                <w:sz w:val="18"/>
                <w:szCs w:val="18"/>
              </w:rPr>
              <w:t>Máximo</w:t>
            </w:r>
            <w:r w:rsidR="00BA3D7B" w:rsidRPr="00DE5D74">
              <w:rPr>
                <w:rFonts w:ascii="Arial" w:hAnsi="Arial" w:cs="Arial"/>
                <w:sz w:val="18"/>
                <w:szCs w:val="18"/>
              </w:rPr>
              <w:t xml:space="preserve"> a </w:t>
            </w:r>
            <w:r w:rsidRPr="00DE5D74">
              <w:rPr>
                <w:rFonts w:ascii="Arial" w:hAnsi="Arial" w:cs="Arial"/>
                <w:sz w:val="18"/>
                <w:szCs w:val="18"/>
              </w:rPr>
              <w:t>30 de julio para la información correspondiente al periodo comprendido entre el 1 de enero y el 30 de junio de cada vigencia y máximo a 31 de enero de la siguiente vigencia para el comprendido entre el 1 de julio y 31 de diciembre de cada vigencia.</w:t>
            </w:r>
          </w:p>
        </w:tc>
        <w:tc>
          <w:tcPr>
            <w:tcW w:w="1620" w:type="dxa"/>
            <w:tcBorders>
              <w:top w:val="dotted" w:sz="4" w:space="0" w:color="auto"/>
              <w:left w:val="dotted" w:sz="4" w:space="0" w:color="auto"/>
              <w:bottom w:val="dotted" w:sz="4" w:space="0" w:color="auto"/>
              <w:right w:val="dotted" w:sz="4" w:space="0" w:color="auto"/>
            </w:tcBorders>
            <w:vAlign w:val="center"/>
          </w:tcPr>
          <w:p w14:paraId="6755E194" w14:textId="137FAB8E" w:rsidR="009F4537" w:rsidRPr="00F05FB8" w:rsidRDefault="00B45660"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Departamento Administrativo de la Función Pública</w:t>
            </w:r>
          </w:p>
        </w:tc>
        <w:tc>
          <w:tcPr>
            <w:tcW w:w="5400" w:type="dxa"/>
            <w:tcBorders>
              <w:top w:val="dotted" w:sz="4" w:space="0" w:color="auto"/>
              <w:left w:val="dotted" w:sz="4" w:space="0" w:color="auto"/>
              <w:bottom w:val="dotted" w:sz="4" w:space="0" w:color="auto"/>
              <w:right w:val="dotted" w:sz="4" w:space="0" w:color="auto"/>
            </w:tcBorders>
            <w:vAlign w:val="center"/>
          </w:tcPr>
          <w:p w14:paraId="64BBD816" w14:textId="564DA47B" w:rsidR="009F4537" w:rsidRPr="00F05FB8" w:rsidRDefault="009F4537"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El jefe de la Unidad de la Oficina de Control Interno o quien haga sus veces deberá publicar</w:t>
            </w:r>
            <w:r w:rsidR="00185DF0" w:rsidRPr="00F05FB8">
              <w:rPr>
                <w:rFonts w:ascii="Arial" w:hAnsi="Arial" w:cs="Arial"/>
                <w:sz w:val="18"/>
                <w:szCs w:val="18"/>
              </w:rPr>
              <w:t xml:space="preserve"> </w:t>
            </w:r>
            <w:r w:rsidRPr="00F05FB8">
              <w:rPr>
                <w:rFonts w:ascii="Arial" w:hAnsi="Arial" w:cs="Arial"/>
                <w:sz w:val="18"/>
                <w:szCs w:val="18"/>
              </w:rPr>
              <w:t>cada seis (6) meses, en el sitio web de la entidad, un informe de evaluación independiente</w:t>
            </w:r>
            <w:r w:rsidR="00185DF0" w:rsidRPr="00F05FB8">
              <w:rPr>
                <w:rFonts w:ascii="Arial" w:hAnsi="Arial" w:cs="Arial"/>
                <w:sz w:val="18"/>
                <w:szCs w:val="18"/>
              </w:rPr>
              <w:t xml:space="preserve"> </w:t>
            </w:r>
            <w:r w:rsidRPr="00F05FB8">
              <w:rPr>
                <w:rFonts w:ascii="Arial" w:hAnsi="Arial" w:cs="Arial"/>
                <w:sz w:val="18"/>
                <w:szCs w:val="18"/>
              </w:rPr>
              <w:t>del estado del Sistema de Control Interno</w:t>
            </w:r>
            <w:r w:rsidR="00185DF0" w:rsidRPr="00F05FB8">
              <w:rPr>
                <w:rFonts w:ascii="Arial" w:hAnsi="Arial" w:cs="Arial"/>
                <w:sz w:val="18"/>
                <w:szCs w:val="18"/>
              </w:rPr>
              <w:t xml:space="preserve"> conforme al form</w:t>
            </w:r>
            <w:r w:rsidR="00D01244" w:rsidRPr="00F05FB8">
              <w:rPr>
                <w:rFonts w:ascii="Arial" w:hAnsi="Arial" w:cs="Arial"/>
                <w:sz w:val="18"/>
                <w:szCs w:val="18"/>
              </w:rPr>
              <w:t>ato establecido por el Departamento Administrativo de la Función Pública.</w:t>
            </w:r>
          </w:p>
        </w:tc>
      </w:tr>
      <w:tr w:rsidR="009A0E89" w:rsidRPr="00F05FB8" w14:paraId="642AEC30" w14:textId="77777777" w:rsidTr="000175AF">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shd w:val="clear" w:color="auto" w:fill="auto"/>
            <w:vAlign w:val="center"/>
          </w:tcPr>
          <w:p w14:paraId="742819EC" w14:textId="77777777" w:rsidR="009A0E89" w:rsidRPr="00F05FB8" w:rsidRDefault="009A0E89"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1776620" w14:textId="77D5C3DB" w:rsidR="009A0E89" w:rsidRPr="00F05FB8" w:rsidRDefault="009A0E89"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Informe sobre posibles actos de corrupción.</w:t>
            </w:r>
          </w:p>
        </w:tc>
        <w:tc>
          <w:tcPr>
            <w:tcW w:w="2821" w:type="dxa"/>
            <w:tcBorders>
              <w:top w:val="dotted" w:sz="4" w:space="0" w:color="auto"/>
              <w:left w:val="dotted" w:sz="4" w:space="0" w:color="auto"/>
              <w:bottom w:val="dotted" w:sz="4" w:space="0" w:color="auto"/>
              <w:right w:val="dotted" w:sz="4" w:space="0" w:color="auto"/>
            </w:tcBorders>
            <w:vAlign w:val="center"/>
          </w:tcPr>
          <w:p w14:paraId="5621621D" w14:textId="77777777" w:rsidR="00637C67" w:rsidRPr="004A4E40" w:rsidRDefault="00637C67" w:rsidP="00637C6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hyperlink r:id="rId20" w:anchor="9" w:history="1">
              <w:r w:rsidRPr="004A4E40">
                <w:rPr>
                  <w:rStyle w:val="Hipervnculo"/>
                  <w:rFonts w:ascii="Arial" w:hAnsi="Arial" w:cs="Arial"/>
                  <w:sz w:val="18"/>
                  <w:szCs w:val="18"/>
                </w:rPr>
                <w:t>Ley 1474 de 2011 art. 9</w:t>
              </w:r>
            </w:hyperlink>
            <w:r w:rsidRPr="004A4E40">
              <w:rPr>
                <w:rFonts w:ascii="Arial" w:hAnsi="Arial" w:cs="Arial"/>
                <w:sz w:val="18"/>
                <w:szCs w:val="18"/>
              </w:rPr>
              <w:t xml:space="preserve"> </w:t>
            </w:r>
            <w:r w:rsidRPr="004A4E40">
              <w:rPr>
                <w:rFonts w:ascii="Arial" w:hAnsi="Arial" w:cs="Arial"/>
                <w:bCs/>
                <w:sz w:val="18"/>
                <w:szCs w:val="18"/>
              </w:rPr>
              <w:t xml:space="preserve">(Segundo Inciso modificado por el </w:t>
            </w:r>
            <w:hyperlink r:id="rId21" w:anchor="231" w:history="1">
              <w:r w:rsidRPr="004A4E40">
                <w:rPr>
                  <w:rStyle w:val="Hipervnculo"/>
                  <w:rFonts w:ascii="Arial" w:hAnsi="Arial" w:cs="Arial"/>
                  <w:bCs/>
                  <w:sz w:val="18"/>
                  <w:szCs w:val="18"/>
                </w:rPr>
                <w:t>art. 231 del Decreto 19 de 2012</w:t>
              </w:r>
            </w:hyperlink>
            <w:r w:rsidRPr="004A4E40">
              <w:rPr>
                <w:rFonts w:ascii="Arial" w:hAnsi="Arial" w:cs="Arial"/>
                <w:bCs/>
                <w:sz w:val="18"/>
                <w:szCs w:val="18"/>
              </w:rPr>
              <w:t xml:space="preserve"> y por el </w:t>
            </w:r>
            <w:hyperlink r:id="rId22" w:anchor="156" w:history="1">
              <w:r w:rsidRPr="004A4E40">
                <w:rPr>
                  <w:rStyle w:val="Hipervnculo"/>
                  <w:rFonts w:ascii="Arial" w:hAnsi="Arial" w:cs="Arial"/>
                  <w:sz w:val="18"/>
                  <w:szCs w:val="18"/>
                </w:rPr>
                <w:t>Decreto 2106 de 2019. Artículo 156</w:t>
              </w:r>
            </w:hyperlink>
            <w:r w:rsidRPr="004A4E40">
              <w:rPr>
                <w:rFonts w:ascii="Arial" w:hAnsi="Arial" w:cs="Arial"/>
                <w:bCs/>
                <w:sz w:val="18"/>
                <w:szCs w:val="18"/>
              </w:rPr>
              <w:t>)</w:t>
            </w:r>
          </w:p>
          <w:p w14:paraId="59BDD07E" w14:textId="77777777" w:rsidR="00637C67" w:rsidRPr="004A4E40" w:rsidRDefault="00637C67" w:rsidP="00637C6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p w14:paraId="1C95A8FA" w14:textId="61F4696F" w:rsidR="009A0E89" w:rsidRPr="004A4E40" w:rsidRDefault="00637C67" w:rsidP="00637C6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23" w:history="1">
              <w:r w:rsidRPr="004A4E40">
                <w:rPr>
                  <w:rStyle w:val="Hipervnculo"/>
                  <w:rFonts w:ascii="Arial" w:hAnsi="Arial" w:cs="Arial"/>
                  <w:sz w:val="18"/>
                  <w:szCs w:val="18"/>
                </w:rPr>
                <w:t>Decreto 338 de 2019 Artículo 1, parágrafo 1</w:t>
              </w:r>
            </w:hyperlink>
          </w:p>
        </w:tc>
        <w:tc>
          <w:tcPr>
            <w:tcW w:w="5476" w:type="dxa"/>
            <w:gridSpan w:val="2"/>
            <w:tcBorders>
              <w:top w:val="dotted" w:sz="4" w:space="0" w:color="auto"/>
              <w:left w:val="dotted" w:sz="4" w:space="0" w:color="auto"/>
              <w:bottom w:val="dotted" w:sz="4" w:space="0" w:color="auto"/>
              <w:right w:val="dotted" w:sz="4" w:space="0" w:color="auto"/>
            </w:tcBorders>
            <w:vAlign w:val="center"/>
          </w:tcPr>
          <w:p w14:paraId="0973D88D" w14:textId="3BBF9FC0" w:rsidR="009A0E89" w:rsidRPr="00F05FB8" w:rsidRDefault="009A0E89" w:rsidP="00B2520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De acuerdo a auditorías internas u otros seguimientos programados</w:t>
            </w:r>
          </w:p>
        </w:tc>
        <w:tc>
          <w:tcPr>
            <w:tcW w:w="1620" w:type="dxa"/>
            <w:tcBorders>
              <w:top w:val="dotted" w:sz="4" w:space="0" w:color="auto"/>
              <w:left w:val="dotted" w:sz="4" w:space="0" w:color="auto"/>
              <w:bottom w:val="dotted" w:sz="4" w:space="0" w:color="auto"/>
              <w:right w:val="dotted" w:sz="4" w:space="0" w:color="auto"/>
            </w:tcBorders>
            <w:vAlign w:val="center"/>
          </w:tcPr>
          <w:p w14:paraId="7D136340" w14:textId="77777777" w:rsidR="009A0E89" w:rsidRPr="00F05FB8" w:rsidRDefault="009A0E89"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Al Representante legal con copia a la Secretaria General de la Presidencia de la Republica y a la Secretaria de Transparencia</w:t>
            </w:r>
          </w:p>
          <w:p w14:paraId="6BD38A54" w14:textId="77777777" w:rsidR="009A0E89" w:rsidRPr="00F05FB8" w:rsidRDefault="009A0E89"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3724679E" w14:textId="42ECE5E1" w:rsidR="009A0E89" w:rsidRPr="00F05FB8" w:rsidRDefault="009A0E89"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Entes de Control respectivos</w:t>
            </w:r>
            <w:r w:rsidR="004E6D8B" w:rsidRPr="00F05FB8">
              <w:rPr>
                <w:rFonts w:ascii="Arial" w:hAnsi="Arial" w:cs="Arial"/>
                <w:sz w:val="18"/>
                <w:szCs w:val="18"/>
              </w:rPr>
              <w:t xml:space="preserve"> </w:t>
            </w:r>
            <w:r w:rsidRPr="00F05FB8">
              <w:rPr>
                <w:rFonts w:ascii="Arial" w:hAnsi="Arial" w:cs="Arial"/>
                <w:sz w:val="18"/>
                <w:szCs w:val="18"/>
              </w:rPr>
              <w:t>según sea el caso</w:t>
            </w:r>
          </w:p>
        </w:tc>
        <w:tc>
          <w:tcPr>
            <w:tcW w:w="5400" w:type="dxa"/>
            <w:tcBorders>
              <w:top w:val="dotted" w:sz="4" w:space="0" w:color="auto"/>
              <w:left w:val="dotted" w:sz="4" w:space="0" w:color="auto"/>
              <w:bottom w:val="dotted" w:sz="4" w:space="0" w:color="auto"/>
              <w:right w:val="dotted" w:sz="4" w:space="0" w:color="auto"/>
            </w:tcBorders>
            <w:vAlign w:val="center"/>
          </w:tcPr>
          <w:p w14:paraId="0AA7D88A" w14:textId="6E4EC6AB" w:rsidR="009A0E89" w:rsidRPr="00F05FB8" w:rsidRDefault="00981140"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732F0">
              <w:rPr>
                <w:rFonts w:ascii="Arial" w:hAnsi="Arial" w:cs="Arial"/>
                <w:color w:val="000000" w:themeColor="text1"/>
                <w:sz w:val="18"/>
                <w:szCs w:val="18"/>
              </w:rPr>
              <w:t xml:space="preserve">Solamente en caso de evidenciarse deberá ser diligenciado el formato determinado para tales </w:t>
            </w:r>
            <w:r w:rsidRPr="00C732F0">
              <w:rPr>
                <w:rFonts w:ascii="Arial" w:hAnsi="Arial" w:cs="Arial"/>
                <w:color w:val="000000" w:themeColor="text1"/>
                <w:sz w:val="18"/>
                <w:szCs w:val="18"/>
                <w:u w:val="single"/>
              </w:rPr>
              <w:t>fines incluido en la Directiva Presidencial 01 de 2015.</w:t>
            </w:r>
          </w:p>
        </w:tc>
      </w:tr>
      <w:tr w:rsidR="007333C6" w:rsidRPr="00F05FB8" w14:paraId="4A0D04A1" w14:textId="77777777" w:rsidTr="000175AF">
        <w:trPr>
          <w:trHeight w:val="488"/>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vAlign w:val="center"/>
          </w:tcPr>
          <w:p w14:paraId="650B1E16" w14:textId="77777777" w:rsidR="007333C6" w:rsidRPr="00F05FB8" w:rsidRDefault="007333C6"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768E23BB" w14:textId="3FC40231" w:rsidR="007333C6" w:rsidRPr="00F05FB8" w:rsidRDefault="007333C6"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Informe sobre la atención prestada por la entidad, por parte de las Oficinas de Quejas, Sugerencias y Reclamos.</w:t>
            </w:r>
          </w:p>
        </w:tc>
        <w:tc>
          <w:tcPr>
            <w:tcW w:w="2821" w:type="dxa"/>
            <w:tcBorders>
              <w:top w:val="dotted" w:sz="4" w:space="0" w:color="auto"/>
              <w:left w:val="dotted" w:sz="4" w:space="0" w:color="auto"/>
              <w:bottom w:val="dotted" w:sz="4" w:space="0" w:color="auto"/>
              <w:right w:val="dotted" w:sz="4" w:space="0" w:color="auto"/>
            </w:tcBorders>
            <w:vAlign w:val="center"/>
          </w:tcPr>
          <w:p w14:paraId="45FDB2CC" w14:textId="25C97A73" w:rsidR="00280280" w:rsidRPr="004A4E40" w:rsidRDefault="007333C6"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24" w:anchor="76" w:history="1">
              <w:r w:rsidRPr="004A4E40">
                <w:rPr>
                  <w:rStyle w:val="Hipervnculo"/>
                  <w:rFonts w:ascii="Arial" w:hAnsi="Arial" w:cs="Arial"/>
                  <w:sz w:val="18"/>
                  <w:szCs w:val="18"/>
                </w:rPr>
                <w:t>Ley 1474 de 2011</w:t>
              </w:r>
              <w:r w:rsidR="0076594C" w:rsidRPr="004A4E40">
                <w:rPr>
                  <w:rStyle w:val="Hipervnculo"/>
                  <w:rFonts w:ascii="Arial" w:hAnsi="Arial" w:cs="Arial"/>
                  <w:sz w:val="18"/>
                  <w:szCs w:val="18"/>
                </w:rPr>
                <w:t>,</w:t>
              </w:r>
              <w:r w:rsidRPr="004A4E40">
                <w:rPr>
                  <w:rStyle w:val="Hipervnculo"/>
                  <w:rFonts w:ascii="Arial" w:hAnsi="Arial" w:cs="Arial"/>
                  <w:sz w:val="18"/>
                  <w:szCs w:val="18"/>
                </w:rPr>
                <w:t xml:space="preserve"> </w:t>
              </w:r>
              <w:r w:rsidR="0076594C" w:rsidRPr="004A4E40">
                <w:rPr>
                  <w:rStyle w:val="Hipervnculo"/>
                  <w:rFonts w:ascii="Arial" w:hAnsi="Arial" w:cs="Arial"/>
                  <w:sz w:val="18"/>
                  <w:szCs w:val="18"/>
                </w:rPr>
                <w:t>A</w:t>
              </w:r>
              <w:r w:rsidRPr="004A4E40">
                <w:rPr>
                  <w:rStyle w:val="Hipervnculo"/>
                  <w:rFonts w:ascii="Arial" w:hAnsi="Arial" w:cs="Arial"/>
                  <w:sz w:val="18"/>
                  <w:szCs w:val="18"/>
                </w:rPr>
                <w:t>rt. 76</w:t>
              </w:r>
            </w:hyperlink>
          </w:p>
        </w:tc>
        <w:tc>
          <w:tcPr>
            <w:tcW w:w="1560" w:type="dxa"/>
            <w:tcBorders>
              <w:top w:val="dotted" w:sz="4" w:space="0" w:color="auto"/>
              <w:left w:val="dotted" w:sz="4" w:space="0" w:color="auto"/>
              <w:bottom w:val="dotted" w:sz="4" w:space="0" w:color="auto"/>
              <w:right w:val="dotted" w:sz="4" w:space="0" w:color="auto"/>
            </w:tcBorders>
            <w:vAlign w:val="center"/>
          </w:tcPr>
          <w:p w14:paraId="30C10B4F" w14:textId="33E77259" w:rsidR="007333C6" w:rsidRPr="00F05FB8" w:rsidRDefault="007333C6" w:rsidP="00B2520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F05FB8">
              <w:rPr>
                <w:rFonts w:ascii="Arial" w:hAnsi="Arial" w:cs="Arial"/>
                <w:b/>
                <w:sz w:val="18"/>
                <w:szCs w:val="18"/>
              </w:rPr>
              <w:t>Semestral</w:t>
            </w:r>
          </w:p>
        </w:tc>
        <w:tc>
          <w:tcPr>
            <w:tcW w:w="3916" w:type="dxa"/>
            <w:tcBorders>
              <w:top w:val="dotted" w:sz="4" w:space="0" w:color="auto"/>
              <w:left w:val="dotted" w:sz="4" w:space="0" w:color="auto"/>
              <w:bottom w:val="dotted" w:sz="4" w:space="0" w:color="auto"/>
              <w:right w:val="dotted" w:sz="4" w:space="0" w:color="auto"/>
            </w:tcBorders>
            <w:vAlign w:val="center"/>
          </w:tcPr>
          <w:p w14:paraId="5125EB5F" w14:textId="69B6D504" w:rsidR="007333C6" w:rsidRPr="00F05FB8" w:rsidRDefault="00280280"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N/A</w:t>
            </w:r>
          </w:p>
        </w:tc>
        <w:tc>
          <w:tcPr>
            <w:tcW w:w="1620" w:type="dxa"/>
            <w:tcBorders>
              <w:top w:val="dotted" w:sz="4" w:space="0" w:color="auto"/>
              <w:left w:val="dotted" w:sz="4" w:space="0" w:color="auto"/>
              <w:bottom w:val="dotted" w:sz="4" w:space="0" w:color="auto"/>
              <w:right w:val="dotted" w:sz="4" w:space="0" w:color="auto"/>
            </w:tcBorders>
            <w:vAlign w:val="center"/>
          </w:tcPr>
          <w:p w14:paraId="78DBAF4F" w14:textId="511A8E8E" w:rsidR="007333C6" w:rsidRPr="00F05FB8" w:rsidRDefault="007333C6"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Representante Legal de la Entidad.</w:t>
            </w:r>
          </w:p>
        </w:tc>
        <w:tc>
          <w:tcPr>
            <w:tcW w:w="5400" w:type="dxa"/>
            <w:tcBorders>
              <w:top w:val="dotted" w:sz="4" w:space="0" w:color="auto"/>
              <w:left w:val="dotted" w:sz="4" w:space="0" w:color="auto"/>
              <w:bottom w:val="dotted" w:sz="4" w:space="0" w:color="auto"/>
              <w:right w:val="dotted" w:sz="4" w:space="0" w:color="auto"/>
            </w:tcBorders>
            <w:vAlign w:val="center"/>
          </w:tcPr>
          <w:p w14:paraId="1EE17332" w14:textId="603B96C7" w:rsidR="007333C6" w:rsidRPr="00F05FB8" w:rsidRDefault="007333C6"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La oficina de control interno deberá vigilar que la atención se preste de acuerdo con las normas legales vigentes y rendirá a la administración de la entidad un informe semestral sobre el particular.</w:t>
            </w:r>
          </w:p>
        </w:tc>
      </w:tr>
      <w:tr w:rsidR="002E6923" w:rsidRPr="00F05FB8" w14:paraId="4565B388" w14:textId="77777777" w:rsidTr="00066687">
        <w:trPr>
          <w:cnfStyle w:val="000000100000" w:firstRow="0" w:lastRow="0" w:firstColumn="0" w:lastColumn="0" w:oddVBand="0" w:evenVBand="0" w:oddHBand="1" w:evenHBand="0" w:firstRowFirstColumn="0" w:firstRowLastColumn="0" w:lastRowFirstColumn="0" w:lastRowLastColumn="0"/>
          <w:trHeight w:val="168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shd w:val="clear" w:color="auto" w:fill="auto"/>
            <w:vAlign w:val="center"/>
          </w:tcPr>
          <w:p w14:paraId="1F4EE10F" w14:textId="77777777" w:rsidR="002E6923" w:rsidRPr="00F05FB8" w:rsidRDefault="002E6923"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565B37D" w14:textId="1469CE7C" w:rsidR="002E6923" w:rsidRPr="00F05FB8" w:rsidRDefault="00DE5D74"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E5D74">
              <w:rPr>
                <w:rFonts w:ascii="Arial" w:hAnsi="Arial" w:cs="Arial"/>
                <w:sz w:val="18"/>
                <w:szCs w:val="18"/>
              </w:rPr>
              <w:t>Auditorí</w:t>
            </w:r>
            <w:r w:rsidR="002E6923" w:rsidRPr="00DE5D74">
              <w:rPr>
                <w:rFonts w:ascii="Arial" w:hAnsi="Arial" w:cs="Arial"/>
                <w:sz w:val="18"/>
                <w:szCs w:val="18"/>
              </w:rPr>
              <w:t xml:space="preserve">a al </w:t>
            </w:r>
            <w:r w:rsidRPr="00DE5D74">
              <w:rPr>
                <w:rFonts w:ascii="Arial" w:hAnsi="Arial" w:cs="Arial"/>
                <w:sz w:val="18"/>
                <w:szCs w:val="18"/>
              </w:rPr>
              <w:t>programa de transparencia y ética pública.</w:t>
            </w:r>
          </w:p>
        </w:tc>
        <w:tc>
          <w:tcPr>
            <w:tcW w:w="2821" w:type="dxa"/>
            <w:tcBorders>
              <w:top w:val="dotted" w:sz="4" w:space="0" w:color="auto"/>
              <w:left w:val="dotted" w:sz="4" w:space="0" w:color="auto"/>
              <w:bottom w:val="dotted" w:sz="4" w:space="0" w:color="auto"/>
              <w:right w:val="dotted" w:sz="4" w:space="0" w:color="auto"/>
            </w:tcBorders>
            <w:vAlign w:val="center"/>
          </w:tcPr>
          <w:p w14:paraId="5095439A" w14:textId="77777777" w:rsidR="002E6923" w:rsidRPr="004A4E40" w:rsidRDefault="002E6923" w:rsidP="002E692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25" w:anchor="73" w:history="1">
              <w:r w:rsidRPr="004A4E40">
                <w:rPr>
                  <w:rStyle w:val="Hipervnculo"/>
                  <w:rFonts w:ascii="Arial" w:hAnsi="Arial" w:cs="Arial"/>
                  <w:sz w:val="18"/>
                  <w:szCs w:val="18"/>
                </w:rPr>
                <w:t>Ley 1474 de 2011, Art. 73</w:t>
              </w:r>
            </w:hyperlink>
          </w:p>
          <w:p w14:paraId="094F4430" w14:textId="77777777" w:rsidR="002E6923" w:rsidRPr="004A4E40" w:rsidRDefault="002E6923" w:rsidP="002E692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4A4E40">
              <w:rPr>
                <w:rFonts w:ascii="Arial" w:hAnsi="Arial" w:cs="Arial"/>
                <w:sz w:val="18"/>
                <w:szCs w:val="18"/>
              </w:rPr>
              <w:t xml:space="preserve">(Artículo modificado por la </w:t>
            </w:r>
            <w:hyperlink r:id="rId26" w:history="1">
              <w:r w:rsidRPr="004A4E40">
                <w:rPr>
                  <w:rStyle w:val="Hipervnculo"/>
                  <w:rFonts w:ascii="Arial" w:hAnsi="Arial" w:cs="Arial"/>
                  <w:sz w:val="18"/>
                  <w:szCs w:val="18"/>
                </w:rPr>
                <w:t>Ley 2195 de 2022 que crea los programas de Transparencia y Ética Pública</w:t>
              </w:r>
            </w:hyperlink>
            <w:r w:rsidRPr="004A4E40">
              <w:rPr>
                <w:rFonts w:ascii="Arial" w:hAnsi="Arial" w:cs="Arial"/>
                <w:sz w:val="18"/>
                <w:szCs w:val="18"/>
              </w:rPr>
              <w:t>)</w:t>
            </w:r>
          </w:p>
          <w:p w14:paraId="3ACC885C" w14:textId="77777777" w:rsidR="002E6923" w:rsidRPr="004A4E40" w:rsidRDefault="002E6923"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p>
          <w:p w14:paraId="39923EF8" w14:textId="6E16C8AF" w:rsidR="002E6923" w:rsidRPr="004A4E40" w:rsidRDefault="00F26DBB"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4A4E40">
              <w:rPr>
                <w:rFonts w:ascii="Arial" w:hAnsi="Arial" w:cs="Arial"/>
                <w:sz w:val="18"/>
              </w:rPr>
              <w:t>Decreto 1122 de</w:t>
            </w:r>
            <w:r w:rsidR="002E6923" w:rsidRPr="004A4E40">
              <w:rPr>
                <w:rFonts w:ascii="Arial" w:hAnsi="Arial" w:cs="Arial"/>
                <w:sz w:val="18"/>
              </w:rPr>
              <w:t xml:space="preserve"> 2024</w:t>
            </w:r>
          </w:p>
          <w:p w14:paraId="4565B37F" w14:textId="09394299" w:rsidR="007E5BD4" w:rsidRPr="004A4E40" w:rsidRDefault="00F26DBB"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hyperlink r:id="rId27" w:anchor="search=anexo%20tecnico" w:history="1">
              <w:r w:rsidRPr="004A4E40">
                <w:rPr>
                  <w:rStyle w:val="Hipervnculo"/>
                  <w:rFonts w:ascii="Arial" w:hAnsi="Arial" w:cs="Arial"/>
                  <w:sz w:val="18"/>
                </w:rPr>
                <w:t>Anexo técnico</w:t>
              </w:r>
            </w:hyperlink>
          </w:p>
        </w:tc>
        <w:tc>
          <w:tcPr>
            <w:tcW w:w="5476" w:type="dxa"/>
            <w:gridSpan w:val="2"/>
            <w:tcBorders>
              <w:top w:val="dotted" w:sz="4" w:space="0" w:color="auto"/>
              <w:left w:val="dotted" w:sz="4" w:space="0" w:color="auto"/>
              <w:bottom w:val="dotted" w:sz="4" w:space="0" w:color="auto"/>
              <w:right w:val="dotted" w:sz="4" w:space="0" w:color="auto"/>
            </w:tcBorders>
            <w:vAlign w:val="center"/>
          </w:tcPr>
          <w:p w14:paraId="6D337EB9" w14:textId="77777777" w:rsidR="002E6923" w:rsidRPr="00A37C07" w:rsidRDefault="002E6923" w:rsidP="00B2520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37C07">
              <w:rPr>
                <w:rFonts w:ascii="Arial" w:hAnsi="Arial" w:cs="Arial"/>
                <w:color w:val="000000" w:themeColor="text1"/>
                <w:sz w:val="18"/>
                <w:szCs w:val="18"/>
              </w:rPr>
              <w:t>De acuerdo a priorización llevada a cabo a través de la formulación del plan anual de auditoria o máximo dos años</w:t>
            </w:r>
          </w:p>
          <w:p w14:paraId="02CAAD17" w14:textId="6FC41488" w:rsidR="002E6923" w:rsidRPr="00F05FB8" w:rsidRDefault="002E6923"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620" w:type="dxa"/>
            <w:tcBorders>
              <w:top w:val="dotted" w:sz="4" w:space="0" w:color="auto"/>
              <w:left w:val="dotted" w:sz="4" w:space="0" w:color="auto"/>
              <w:bottom w:val="dotted" w:sz="4" w:space="0" w:color="auto"/>
              <w:right w:val="dotted" w:sz="4" w:space="0" w:color="auto"/>
            </w:tcBorders>
            <w:vAlign w:val="center"/>
          </w:tcPr>
          <w:p w14:paraId="5167B92D" w14:textId="77777777" w:rsidR="002E6923" w:rsidRPr="00F05FB8" w:rsidRDefault="002E6923"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Representante Legal.</w:t>
            </w:r>
          </w:p>
          <w:p w14:paraId="4565B385" w14:textId="471024FC" w:rsidR="002E6923" w:rsidRPr="00F05FB8" w:rsidRDefault="002E6923"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br/>
              <w:t>Ciudadanía</w:t>
            </w:r>
          </w:p>
        </w:tc>
        <w:tc>
          <w:tcPr>
            <w:tcW w:w="5400" w:type="dxa"/>
            <w:tcBorders>
              <w:top w:val="dotted" w:sz="4" w:space="0" w:color="auto"/>
              <w:left w:val="dotted" w:sz="4" w:space="0" w:color="auto"/>
              <w:bottom w:val="dotted" w:sz="4" w:space="0" w:color="auto"/>
              <w:right w:val="dotted" w:sz="4" w:space="0" w:color="auto"/>
            </w:tcBorders>
            <w:vAlign w:val="center"/>
          </w:tcPr>
          <w:p w14:paraId="4565B387" w14:textId="35B593AF" w:rsidR="002E6923" w:rsidRPr="00F05FB8" w:rsidRDefault="002E6923"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E6923">
              <w:rPr>
                <w:rFonts w:ascii="Arial" w:hAnsi="Arial" w:cs="Arial"/>
                <w:sz w:val="18"/>
                <w:szCs w:val="18"/>
              </w:rPr>
              <w:t>Auditar de forma constante el desarrollo de los contenidos del Programa de Transparencia y Ética Pública, de forma que se permita la evaluación de sus</w:t>
            </w:r>
            <w:r>
              <w:rPr>
                <w:rFonts w:ascii="Arial" w:hAnsi="Arial" w:cs="Arial"/>
                <w:sz w:val="18"/>
                <w:szCs w:val="18"/>
              </w:rPr>
              <w:t xml:space="preserve"> </w:t>
            </w:r>
            <w:r w:rsidRPr="002E6923">
              <w:rPr>
                <w:rFonts w:ascii="Arial" w:hAnsi="Arial" w:cs="Arial"/>
                <w:sz w:val="18"/>
                <w:szCs w:val="18"/>
              </w:rPr>
              <w:t>resultados, la identificación de acciones de mejora y la oportunidad de modificar o reformular el Programa.</w:t>
            </w:r>
          </w:p>
        </w:tc>
      </w:tr>
      <w:tr w:rsidR="00622D49" w:rsidRPr="00F05FB8" w14:paraId="4565B394" w14:textId="77777777" w:rsidTr="000175AF">
        <w:trPr>
          <w:trHeight w:val="894"/>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vAlign w:val="center"/>
          </w:tcPr>
          <w:p w14:paraId="13A80F37" w14:textId="77777777" w:rsidR="00622D49" w:rsidRPr="00F05FB8" w:rsidRDefault="00622D49"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565B38A" w14:textId="721DB50A" w:rsidR="00622D49" w:rsidRPr="00F05FB8" w:rsidRDefault="00622D49"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F05FB8">
              <w:rPr>
                <w:rFonts w:ascii="Arial" w:hAnsi="Arial" w:cs="Arial"/>
                <w:sz w:val="18"/>
                <w:szCs w:val="18"/>
              </w:rPr>
              <w:t>Informe Control Interno</w:t>
            </w:r>
            <w:r w:rsidR="00404BBF" w:rsidRPr="00F05FB8">
              <w:rPr>
                <w:rFonts w:ascii="Arial" w:hAnsi="Arial" w:cs="Arial"/>
                <w:sz w:val="18"/>
                <w:szCs w:val="18"/>
              </w:rPr>
              <w:t xml:space="preserve"> </w:t>
            </w:r>
            <w:r w:rsidRPr="00F05FB8">
              <w:rPr>
                <w:rFonts w:ascii="Arial" w:hAnsi="Arial" w:cs="Arial"/>
                <w:sz w:val="18"/>
                <w:szCs w:val="18"/>
              </w:rPr>
              <w:t>Contable</w:t>
            </w:r>
          </w:p>
        </w:tc>
        <w:tc>
          <w:tcPr>
            <w:tcW w:w="2821" w:type="dxa"/>
            <w:tcBorders>
              <w:top w:val="dotted" w:sz="4" w:space="0" w:color="auto"/>
              <w:left w:val="dotted" w:sz="4" w:space="0" w:color="auto"/>
              <w:bottom w:val="dotted" w:sz="4" w:space="0" w:color="auto"/>
              <w:right w:val="dotted" w:sz="4" w:space="0" w:color="auto"/>
            </w:tcBorders>
            <w:vAlign w:val="center"/>
          </w:tcPr>
          <w:p w14:paraId="4565B38D" w14:textId="24217331" w:rsidR="00622D49" w:rsidRPr="004A4E40" w:rsidRDefault="007B4E84"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28" w:history="1">
              <w:r w:rsidRPr="004A4E40">
                <w:rPr>
                  <w:rStyle w:val="Hipervnculo"/>
                  <w:rFonts w:ascii="Arial" w:hAnsi="Arial" w:cs="Arial"/>
                  <w:sz w:val="18"/>
                  <w:szCs w:val="18"/>
                </w:rPr>
                <w:t>Resolución 138 de 2025</w:t>
              </w:r>
            </w:hyperlink>
          </w:p>
        </w:tc>
        <w:tc>
          <w:tcPr>
            <w:tcW w:w="1560" w:type="dxa"/>
            <w:tcBorders>
              <w:top w:val="dotted" w:sz="4" w:space="0" w:color="auto"/>
              <w:left w:val="dotted" w:sz="4" w:space="0" w:color="auto"/>
              <w:bottom w:val="dotted" w:sz="4" w:space="0" w:color="auto"/>
              <w:right w:val="dotted" w:sz="4" w:space="0" w:color="auto"/>
            </w:tcBorders>
            <w:vAlign w:val="center"/>
          </w:tcPr>
          <w:p w14:paraId="4565B38E" w14:textId="4AC22E49" w:rsidR="00622D49" w:rsidRPr="00F05FB8" w:rsidRDefault="00622D49" w:rsidP="00B2520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b/>
                <w:sz w:val="18"/>
                <w:szCs w:val="18"/>
              </w:rPr>
              <w:t>Anual</w:t>
            </w:r>
          </w:p>
        </w:tc>
        <w:tc>
          <w:tcPr>
            <w:tcW w:w="3916" w:type="dxa"/>
            <w:tcBorders>
              <w:top w:val="dotted" w:sz="4" w:space="0" w:color="auto"/>
              <w:left w:val="dotted" w:sz="4" w:space="0" w:color="auto"/>
              <w:bottom w:val="dotted" w:sz="4" w:space="0" w:color="auto"/>
              <w:right w:val="dotted" w:sz="4" w:space="0" w:color="auto"/>
            </w:tcBorders>
            <w:vAlign w:val="center"/>
          </w:tcPr>
          <w:p w14:paraId="046A6B6A" w14:textId="69FFE356" w:rsidR="00622D49" w:rsidRPr="00131B5A" w:rsidRDefault="00354D5B"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B5A">
              <w:rPr>
                <w:rFonts w:ascii="Arial" w:hAnsi="Arial" w:cs="Arial"/>
                <w:sz w:val="18"/>
                <w:szCs w:val="18"/>
              </w:rPr>
              <w:t xml:space="preserve"> </w:t>
            </w:r>
            <w:r w:rsidR="00E31CF0" w:rsidRPr="00131B5A">
              <w:rPr>
                <w:rFonts w:ascii="Arial" w:hAnsi="Arial" w:cs="Arial"/>
                <w:sz w:val="18"/>
                <w:szCs w:val="18"/>
              </w:rPr>
              <w:t>A más tardar el 28 de febrero del siguiente año o vigencia</w:t>
            </w:r>
            <w:r w:rsidR="00960E94" w:rsidRPr="00131B5A">
              <w:rPr>
                <w:rFonts w:ascii="Arial" w:hAnsi="Arial" w:cs="Arial"/>
                <w:sz w:val="18"/>
                <w:szCs w:val="18"/>
              </w:rPr>
              <w:t>.</w:t>
            </w:r>
          </w:p>
          <w:p w14:paraId="115F2C4A" w14:textId="77777777" w:rsidR="00960E94" w:rsidRPr="005204C4" w:rsidRDefault="00960E94"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highlight w:val="yellow"/>
              </w:rPr>
            </w:pPr>
          </w:p>
          <w:p w14:paraId="44541066" w14:textId="03FB56C1" w:rsidR="00960E94" w:rsidRPr="00F05FB8" w:rsidRDefault="00960E94"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47665">
              <w:rPr>
                <w:rFonts w:ascii="Arial" w:hAnsi="Arial" w:cs="Arial"/>
                <w:sz w:val="18"/>
                <w:szCs w:val="18"/>
              </w:rPr>
              <w:t>NOTA: Sujeto a los lineamientos anuales emitidos por la Contaduría General de la Nación - CGN</w:t>
            </w:r>
          </w:p>
        </w:tc>
        <w:tc>
          <w:tcPr>
            <w:tcW w:w="1620" w:type="dxa"/>
            <w:tcBorders>
              <w:top w:val="dotted" w:sz="4" w:space="0" w:color="auto"/>
              <w:left w:val="dotted" w:sz="4" w:space="0" w:color="auto"/>
              <w:bottom w:val="dotted" w:sz="4" w:space="0" w:color="auto"/>
              <w:right w:val="dotted" w:sz="4" w:space="0" w:color="auto"/>
            </w:tcBorders>
            <w:vAlign w:val="center"/>
          </w:tcPr>
          <w:p w14:paraId="4565B390" w14:textId="68EA7C7B" w:rsidR="00622D49" w:rsidRPr="00F05FB8" w:rsidRDefault="00622D49"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Contaduría General de la Nación</w:t>
            </w:r>
          </w:p>
        </w:tc>
        <w:tc>
          <w:tcPr>
            <w:tcW w:w="5400" w:type="dxa"/>
            <w:tcBorders>
              <w:top w:val="dotted" w:sz="4" w:space="0" w:color="auto"/>
              <w:left w:val="dotted" w:sz="4" w:space="0" w:color="auto"/>
              <w:bottom w:val="dotted" w:sz="4" w:space="0" w:color="auto"/>
              <w:right w:val="dotted" w:sz="4" w:space="0" w:color="auto"/>
            </w:tcBorders>
            <w:vAlign w:val="center"/>
          </w:tcPr>
          <w:p w14:paraId="47D5D3F2" w14:textId="387F5A50" w:rsidR="000F6154" w:rsidRPr="00B47665" w:rsidRDefault="000F6154"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47665">
              <w:rPr>
                <w:rFonts w:ascii="Arial" w:hAnsi="Arial" w:cs="Arial"/>
                <w:sz w:val="18"/>
                <w:szCs w:val="18"/>
              </w:rPr>
              <w:t xml:space="preserve">Es el proceso que bajo la responsabilidad del representante legal o máximo directivo de la entidad, así como de los responsables de las áreas financieras y contables, se adelanta en las entidades, con el fin de lograr la existencia y efectividad de los procedimientos de control y verificación de las actividades propias del proceso contable, de modo que garanticen razonablemente que la información financiera cumpla con las características </w:t>
            </w:r>
            <w:r w:rsidRPr="00B47665">
              <w:rPr>
                <w:rFonts w:ascii="Arial" w:hAnsi="Arial" w:cs="Arial"/>
                <w:sz w:val="18"/>
                <w:szCs w:val="18"/>
              </w:rPr>
              <w:lastRenderedPageBreak/>
              <w:t>fundamentales de relevancia y representación fiel de que trata el Régimen de Contabilidad Pública</w:t>
            </w:r>
          </w:p>
          <w:p w14:paraId="797CD4D0" w14:textId="77777777" w:rsidR="000F6154" w:rsidRPr="00B47665" w:rsidRDefault="000F6154"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565B393" w14:textId="48AE7E03" w:rsidR="00622D49" w:rsidRPr="00B47665" w:rsidRDefault="00622D49"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47665">
              <w:rPr>
                <w:rFonts w:ascii="Arial" w:hAnsi="Arial" w:cs="Arial"/>
                <w:sz w:val="18"/>
                <w:szCs w:val="18"/>
              </w:rPr>
              <w:t xml:space="preserve">El reporte del informe de evaluación del control interno contable, </w:t>
            </w:r>
            <w:r w:rsidR="0077520F" w:rsidRPr="00B47665">
              <w:rPr>
                <w:rFonts w:ascii="Arial" w:hAnsi="Arial" w:cs="Arial"/>
                <w:sz w:val="18"/>
                <w:szCs w:val="18"/>
              </w:rPr>
              <w:t>es responsabilidad del Representante Legal de la entidad y del jefe de la oficina de control interno o quien haga sus veces, de conformidad con el procedimiento transversal para la evaluación del control interno contable.</w:t>
            </w:r>
            <w:r w:rsidRPr="00B47665">
              <w:rPr>
                <w:rFonts w:ascii="Arial" w:hAnsi="Arial" w:cs="Arial"/>
                <w:sz w:val="18"/>
                <w:szCs w:val="18"/>
              </w:rPr>
              <w:t>, a través del Consolidador de Hacienda e Información Pública (CHIP)</w:t>
            </w:r>
            <w:r w:rsidR="00E31CF0" w:rsidRPr="00B47665">
              <w:rPr>
                <w:rFonts w:ascii="Arial" w:hAnsi="Arial" w:cs="Arial"/>
                <w:sz w:val="18"/>
                <w:szCs w:val="18"/>
              </w:rPr>
              <w:t xml:space="preserve"> </w:t>
            </w:r>
          </w:p>
        </w:tc>
      </w:tr>
      <w:tr w:rsidR="00C839DF" w:rsidRPr="00F05FB8" w14:paraId="4565B39D" w14:textId="77777777" w:rsidTr="000175AF">
        <w:trPr>
          <w:cnfStyle w:val="000000100000" w:firstRow="0" w:lastRow="0" w:firstColumn="0" w:lastColumn="0" w:oddVBand="0" w:evenVBand="0" w:oddHBand="1" w:evenHBand="0" w:firstRowFirstColumn="0" w:firstRowLastColumn="0" w:lastRowFirstColumn="0" w:lastRowLastColumn="0"/>
          <w:trHeight w:val="1048"/>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shd w:val="clear" w:color="auto" w:fill="auto"/>
            <w:vAlign w:val="center"/>
          </w:tcPr>
          <w:p w14:paraId="0887F63D" w14:textId="77777777" w:rsidR="00C839DF" w:rsidRPr="00F05FB8" w:rsidRDefault="00C839DF"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565B395" w14:textId="1E95F547" w:rsidR="00C839DF" w:rsidRPr="00F05FB8" w:rsidRDefault="00C839DF"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Informe Derechos de Autor Software</w:t>
            </w:r>
          </w:p>
        </w:tc>
        <w:tc>
          <w:tcPr>
            <w:tcW w:w="2821" w:type="dxa"/>
            <w:tcBorders>
              <w:top w:val="dotted" w:sz="4" w:space="0" w:color="auto"/>
              <w:left w:val="dotted" w:sz="4" w:space="0" w:color="auto"/>
              <w:bottom w:val="dotted" w:sz="4" w:space="0" w:color="auto"/>
              <w:right w:val="dotted" w:sz="4" w:space="0" w:color="auto"/>
            </w:tcBorders>
            <w:vAlign w:val="center"/>
          </w:tcPr>
          <w:p w14:paraId="4E97F087" w14:textId="6987AC10" w:rsidR="00F475E6" w:rsidRPr="004A4E40" w:rsidRDefault="00F475E6"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29" w:history="1">
              <w:r w:rsidRPr="004A4E40">
                <w:rPr>
                  <w:rStyle w:val="Hipervnculo"/>
                  <w:rFonts w:ascii="Arial" w:hAnsi="Arial" w:cs="Arial"/>
                  <w:sz w:val="18"/>
                  <w:szCs w:val="18"/>
                </w:rPr>
                <w:t>Directiva Presidencial 02 del 12 de febrero de 2002</w:t>
              </w:r>
            </w:hyperlink>
          </w:p>
          <w:p w14:paraId="3B823241" w14:textId="77777777" w:rsidR="005C1BA8" w:rsidRPr="004A4E40" w:rsidRDefault="005C1BA8"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744A8084" w14:textId="06829CD6" w:rsidR="005C1BA8" w:rsidRPr="004A4E40" w:rsidRDefault="005C1BA8"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30" w:history="1">
              <w:r w:rsidRPr="004A4E40">
                <w:rPr>
                  <w:rStyle w:val="Hipervnculo"/>
                  <w:rFonts w:ascii="Arial" w:hAnsi="Arial" w:cs="Arial"/>
                  <w:sz w:val="18"/>
                  <w:szCs w:val="18"/>
                </w:rPr>
                <w:t>Circular No. 04 del 22 de diciembre de 2006 del Consejo Asesor del Gobierno Nacional en materia de Control Interno</w:t>
              </w:r>
            </w:hyperlink>
          </w:p>
          <w:p w14:paraId="4A309AE1" w14:textId="77777777" w:rsidR="00F475E6" w:rsidRPr="004A4E40" w:rsidRDefault="00F475E6"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603B6BB7" w14:textId="7A2014EE" w:rsidR="00714EF6" w:rsidRPr="004A4E40" w:rsidRDefault="00C839DF"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Style w:val="Hipervnculo"/>
                <w:rFonts w:ascii="Arial" w:hAnsi="Arial" w:cs="Arial"/>
                <w:strike/>
                <w:sz w:val="18"/>
                <w:szCs w:val="18"/>
              </w:rPr>
            </w:pPr>
            <w:hyperlink r:id="rId31" w:history="1">
              <w:r w:rsidRPr="004A4E40">
                <w:rPr>
                  <w:rStyle w:val="Hipervnculo"/>
                  <w:rFonts w:ascii="Arial" w:hAnsi="Arial" w:cs="Arial"/>
                  <w:sz w:val="18"/>
                  <w:szCs w:val="18"/>
                </w:rPr>
                <w:t>Circular 017 del 01 junio de 201</w:t>
              </w:r>
              <w:r w:rsidR="00510353" w:rsidRPr="004A4E40">
                <w:rPr>
                  <w:rStyle w:val="Hipervnculo"/>
                  <w:rFonts w:ascii="Arial" w:hAnsi="Arial" w:cs="Arial"/>
                  <w:sz w:val="18"/>
                  <w:szCs w:val="18"/>
                </w:rPr>
                <w:t>1</w:t>
              </w:r>
              <w:r w:rsidR="004C38B5" w:rsidRPr="004A4E40">
                <w:rPr>
                  <w:rStyle w:val="Hipervnculo"/>
                  <w:rFonts w:ascii="Arial" w:hAnsi="Arial" w:cs="Arial"/>
                  <w:sz w:val="18"/>
                  <w:szCs w:val="18"/>
                </w:rPr>
                <w:t xml:space="preserve"> de la </w:t>
              </w:r>
              <w:r w:rsidR="00510353" w:rsidRPr="004A4E40">
                <w:rPr>
                  <w:rStyle w:val="Hipervnculo"/>
                  <w:rFonts w:ascii="Arial" w:hAnsi="Arial" w:cs="Arial"/>
                  <w:sz w:val="18"/>
                  <w:szCs w:val="18"/>
                </w:rPr>
                <w:t>Dirección Nacional de Derechos de Autor</w:t>
              </w:r>
            </w:hyperlink>
            <w:r w:rsidR="00515E6C" w:rsidRPr="004A4E40">
              <w:rPr>
                <w:rStyle w:val="Hipervnculo"/>
                <w:rFonts w:ascii="Arial" w:hAnsi="Arial" w:cs="Arial"/>
                <w:strike/>
                <w:sz w:val="18"/>
                <w:szCs w:val="18"/>
              </w:rPr>
              <w:t xml:space="preserve"> </w:t>
            </w:r>
          </w:p>
          <w:p w14:paraId="3BCFE287" w14:textId="77777777" w:rsidR="007D728A" w:rsidRPr="004A4E40" w:rsidRDefault="007D728A"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Style w:val="Hipervnculo"/>
                <w:rFonts w:ascii="Arial" w:hAnsi="Arial" w:cs="Arial"/>
                <w:color w:val="000000" w:themeColor="text1"/>
                <w:sz w:val="18"/>
                <w:szCs w:val="18"/>
              </w:rPr>
            </w:pPr>
          </w:p>
          <w:p w14:paraId="4565B397" w14:textId="07D4647F" w:rsidR="00C839DF" w:rsidRPr="004A4E40" w:rsidRDefault="007D728A"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rPr>
            </w:pPr>
            <w:hyperlink r:id="rId32" w:history="1">
              <w:r w:rsidRPr="004A4E40">
                <w:rPr>
                  <w:rStyle w:val="Hipervnculo"/>
                  <w:rFonts w:ascii="Arial" w:hAnsi="Arial" w:cs="Arial"/>
                  <w:bCs/>
                  <w:sz w:val="18"/>
                  <w:szCs w:val="18"/>
                  <w:lang w:val="es-ES"/>
                </w:rPr>
                <w:t>Circular externa 027 de 2023</w:t>
              </w:r>
            </w:hyperlink>
          </w:p>
        </w:tc>
        <w:tc>
          <w:tcPr>
            <w:tcW w:w="1560" w:type="dxa"/>
            <w:tcBorders>
              <w:top w:val="dotted" w:sz="4" w:space="0" w:color="auto"/>
              <w:left w:val="dotted" w:sz="4" w:space="0" w:color="auto"/>
              <w:bottom w:val="dotted" w:sz="4" w:space="0" w:color="auto"/>
              <w:right w:val="dotted" w:sz="4" w:space="0" w:color="auto"/>
            </w:tcBorders>
            <w:vAlign w:val="center"/>
          </w:tcPr>
          <w:p w14:paraId="4565B398" w14:textId="291E36D3" w:rsidR="00C839DF" w:rsidRPr="00F05FB8" w:rsidRDefault="00C839DF" w:rsidP="00B2520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F05FB8">
              <w:rPr>
                <w:rFonts w:ascii="Arial" w:hAnsi="Arial" w:cs="Arial"/>
                <w:b/>
                <w:sz w:val="18"/>
                <w:szCs w:val="18"/>
              </w:rPr>
              <w:t>Anual</w:t>
            </w:r>
          </w:p>
        </w:tc>
        <w:tc>
          <w:tcPr>
            <w:tcW w:w="3916" w:type="dxa"/>
            <w:tcBorders>
              <w:top w:val="dotted" w:sz="4" w:space="0" w:color="auto"/>
              <w:left w:val="dotted" w:sz="4" w:space="0" w:color="auto"/>
              <w:bottom w:val="dotted" w:sz="4" w:space="0" w:color="auto"/>
              <w:right w:val="dotted" w:sz="4" w:space="0" w:color="auto"/>
            </w:tcBorders>
            <w:vAlign w:val="center"/>
          </w:tcPr>
          <w:p w14:paraId="44A07F3C" w14:textId="0729FFB8" w:rsidR="00C839DF" w:rsidRPr="00F05FB8" w:rsidRDefault="00C659BA"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El aplicativo abre desde el primer día hábil del mes de enero de cada año hasta el tercer viernes del mes de marzo, fecha en la cual se deshabilitará el aplicativo.</w:t>
            </w:r>
          </w:p>
        </w:tc>
        <w:tc>
          <w:tcPr>
            <w:tcW w:w="1620" w:type="dxa"/>
            <w:tcBorders>
              <w:top w:val="dotted" w:sz="4" w:space="0" w:color="auto"/>
              <w:left w:val="dotted" w:sz="4" w:space="0" w:color="auto"/>
              <w:bottom w:val="dotted" w:sz="4" w:space="0" w:color="auto"/>
              <w:right w:val="dotted" w:sz="4" w:space="0" w:color="auto"/>
            </w:tcBorders>
            <w:vAlign w:val="center"/>
          </w:tcPr>
          <w:p w14:paraId="4565B39B" w14:textId="06A67199" w:rsidR="00C839DF" w:rsidRPr="00F05FB8" w:rsidRDefault="00C839DF"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Unidad Administrativa Especial Dirección Nacional de Derecho de Autor</w:t>
            </w:r>
          </w:p>
        </w:tc>
        <w:tc>
          <w:tcPr>
            <w:tcW w:w="5400" w:type="dxa"/>
            <w:tcBorders>
              <w:top w:val="dotted" w:sz="4" w:space="0" w:color="auto"/>
              <w:left w:val="dotted" w:sz="4" w:space="0" w:color="auto"/>
              <w:bottom w:val="dotted" w:sz="4" w:space="0" w:color="auto"/>
              <w:right w:val="dotted" w:sz="4" w:space="0" w:color="auto"/>
            </w:tcBorders>
            <w:vAlign w:val="center"/>
          </w:tcPr>
          <w:p w14:paraId="3A60B1A8" w14:textId="77777777" w:rsidR="00C839DF" w:rsidRPr="00F05FB8" w:rsidRDefault="00C839DF"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Verificación, recomendaciones, seguimiento y resultados sobre el cumplimiento de las normas en materia de derechos de autor referente al software.</w:t>
            </w:r>
          </w:p>
          <w:p w14:paraId="67FC0E79" w14:textId="77777777" w:rsidR="00010574" w:rsidRPr="00F05FB8" w:rsidRDefault="00010574"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2A8C40EA" w14:textId="35072895" w:rsidR="00C839DF" w:rsidRPr="007B5037" w:rsidRDefault="00C839DF"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2"/>
                <w:szCs w:val="18"/>
              </w:rPr>
            </w:pPr>
            <w:r w:rsidRPr="00F05FB8">
              <w:rPr>
                <w:rFonts w:ascii="Arial" w:hAnsi="Arial" w:cs="Arial"/>
                <w:sz w:val="18"/>
                <w:szCs w:val="18"/>
              </w:rPr>
              <w:t xml:space="preserve">El responsable de cada entidad en el aplicativo que para el efecto dispondrá la Dirección </w:t>
            </w:r>
            <w:r w:rsidR="007A5342">
              <w:rPr>
                <w:rFonts w:ascii="Arial" w:hAnsi="Arial" w:cs="Arial"/>
                <w:sz w:val="18"/>
                <w:szCs w:val="18"/>
              </w:rPr>
              <w:t>Nacional de Derecho de Autor en</w:t>
            </w:r>
            <w:r w:rsidR="007B5037" w:rsidRPr="007B5037">
              <w:rPr>
                <w:rFonts w:ascii="Arial" w:hAnsi="Arial" w:cs="Arial"/>
                <w:sz w:val="18"/>
              </w:rPr>
              <w:t xml:space="preserve"> la página </w:t>
            </w:r>
            <w:hyperlink r:id="rId33" w:history="1">
              <w:r w:rsidR="007B5037" w:rsidRPr="007B5037">
                <w:rPr>
                  <w:rStyle w:val="Hipervnculo"/>
                  <w:rFonts w:ascii="Arial" w:hAnsi="Arial" w:cs="Arial"/>
                  <w:sz w:val="18"/>
                </w:rPr>
                <w:t>www.derechodeautor.gov.co</w:t>
              </w:r>
            </w:hyperlink>
          </w:p>
          <w:p w14:paraId="4565B39C" w14:textId="31F1E985" w:rsidR="00C839DF" w:rsidRPr="00F05FB8" w:rsidRDefault="00C839DF"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6025B1" w:rsidRPr="00F05FB8" w14:paraId="4565B3A3" w14:textId="77777777" w:rsidTr="000175AF">
        <w:trPr>
          <w:trHeight w:val="1819"/>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vAlign w:val="center"/>
          </w:tcPr>
          <w:p w14:paraId="19EA5D64" w14:textId="77777777" w:rsidR="006025B1" w:rsidRPr="00F05FB8" w:rsidRDefault="006025B1"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565B39E" w14:textId="0AA2A2D3" w:rsidR="006025B1" w:rsidRPr="00F05FB8" w:rsidRDefault="006025B1"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Informe de Austeridad en el Gasto</w:t>
            </w:r>
          </w:p>
        </w:tc>
        <w:tc>
          <w:tcPr>
            <w:tcW w:w="2821" w:type="dxa"/>
            <w:tcBorders>
              <w:top w:val="dotted" w:sz="4" w:space="0" w:color="auto"/>
              <w:left w:val="dotted" w:sz="4" w:space="0" w:color="auto"/>
              <w:bottom w:val="dotted" w:sz="4" w:space="0" w:color="auto"/>
              <w:right w:val="dotted" w:sz="4" w:space="0" w:color="auto"/>
            </w:tcBorders>
            <w:vAlign w:val="center"/>
          </w:tcPr>
          <w:p w14:paraId="1C4D2A7B" w14:textId="77777777" w:rsidR="006025B1" w:rsidRPr="004A4E40" w:rsidRDefault="006025B1"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1F927631" w14:textId="41243030" w:rsidR="006025B1" w:rsidRPr="004A4E40" w:rsidRDefault="006025B1"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34" w:history="1">
              <w:r w:rsidRPr="004A4E40">
                <w:rPr>
                  <w:rStyle w:val="Hipervnculo"/>
                  <w:rFonts w:ascii="Arial" w:hAnsi="Arial" w:cs="Arial"/>
                  <w:sz w:val="18"/>
                  <w:szCs w:val="18"/>
                </w:rPr>
                <w:t>Decreto 1068 de 2015 “</w:t>
              </w:r>
              <w:r w:rsidRPr="004A4E40">
                <w:rPr>
                  <w:rStyle w:val="Hipervnculo"/>
                  <w:rFonts w:ascii="Arial" w:hAnsi="Arial" w:cs="Arial"/>
                  <w:i/>
                  <w:iCs/>
                  <w:sz w:val="18"/>
                  <w:szCs w:val="18"/>
                </w:rPr>
                <w:t>Por medio del cual se expide el Decreto Único Reglamentario del Sector Hacienda y Crédito Público</w:t>
              </w:r>
              <w:r w:rsidRPr="004A4E40">
                <w:rPr>
                  <w:rStyle w:val="Hipervnculo"/>
                  <w:rFonts w:ascii="Arial" w:hAnsi="Arial" w:cs="Arial"/>
                  <w:sz w:val="18"/>
                  <w:szCs w:val="18"/>
                </w:rPr>
                <w:t>” Cap. II y posteriores.</w:t>
              </w:r>
            </w:hyperlink>
          </w:p>
          <w:p w14:paraId="50CCFBC8" w14:textId="77777777" w:rsidR="006025B1" w:rsidRPr="004A4E40" w:rsidRDefault="006025B1"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62E41A85" w14:textId="4B9BFEE4" w:rsidR="006025B1" w:rsidRPr="004A4E40" w:rsidRDefault="006025B1"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35" w:history="1">
              <w:r w:rsidRPr="004A4E40">
                <w:rPr>
                  <w:rStyle w:val="Hipervnculo"/>
                  <w:rFonts w:ascii="Arial" w:hAnsi="Arial" w:cs="Arial"/>
                  <w:sz w:val="18"/>
                  <w:szCs w:val="18"/>
                </w:rPr>
                <w:t>Decreto No. 984 de 14 de mayo de 2012 (Modifica el art. 22 de Decreto 1737 de 1998)</w:t>
              </w:r>
            </w:hyperlink>
          </w:p>
          <w:p w14:paraId="31FF28A7" w14:textId="02DCF997" w:rsidR="00571E91" w:rsidRPr="004A4E40" w:rsidRDefault="00571E91"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Style w:val="Hipervnculo"/>
              </w:rPr>
            </w:pPr>
          </w:p>
          <w:p w14:paraId="100F9FC4" w14:textId="0BE59DA2" w:rsidR="00571E91" w:rsidRPr="004A4E40" w:rsidRDefault="00571E91"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4A4E40">
              <w:rPr>
                <w:rFonts w:ascii="Arial" w:hAnsi="Arial" w:cs="Arial"/>
                <w:sz w:val="18"/>
                <w:szCs w:val="18"/>
              </w:rPr>
              <w:t>Decreto</w:t>
            </w:r>
            <w:r w:rsidR="00714EF6" w:rsidRPr="004A4E40">
              <w:rPr>
                <w:rFonts w:ascii="Arial" w:hAnsi="Arial" w:cs="Arial"/>
                <w:sz w:val="18"/>
                <w:szCs w:val="18"/>
              </w:rPr>
              <w:t>s</w:t>
            </w:r>
            <w:r w:rsidRPr="004A4E40">
              <w:rPr>
                <w:rFonts w:ascii="Arial" w:hAnsi="Arial" w:cs="Arial"/>
                <w:sz w:val="18"/>
                <w:szCs w:val="18"/>
              </w:rPr>
              <w:t xml:space="preserve"> </w:t>
            </w:r>
            <w:r w:rsidR="00714EF6" w:rsidRPr="004A4E40">
              <w:rPr>
                <w:rFonts w:ascii="Arial" w:hAnsi="Arial" w:cs="Arial"/>
                <w:sz w:val="18"/>
                <w:szCs w:val="18"/>
              </w:rPr>
              <w:t xml:space="preserve">anuales que establecen el plan de austeridad del gasto para cada vigencia para los </w:t>
            </w:r>
            <w:r w:rsidR="00714EF6" w:rsidRPr="004A4E40">
              <w:rPr>
                <w:rFonts w:ascii="Arial" w:hAnsi="Arial" w:cs="Arial"/>
                <w:bCs/>
                <w:sz w:val="18"/>
                <w:szCs w:val="18"/>
              </w:rPr>
              <w:t>órganos que hacen parte del Presupuesto General de la Nación.</w:t>
            </w:r>
          </w:p>
          <w:p w14:paraId="0E65214D" w14:textId="77777777" w:rsidR="006025B1" w:rsidRPr="004A4E40" w:rsidRDefault="006025B1"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565B39F" w14:textId="72B137EA" w:rsidR="000B0C4C" w:rsidRPr="004A4E40" w:rsidRDefault="000B0C4C"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36" w:history="1">
              <w:r w:rsidRPr="004A4E40">
                <w:rPr>
                  <w:rStyle w:val="Hipervnculo"/>
                  <w:rFonts w:ascii="Arial" w:hAnsi="Arial" w:cs="Arial"/>
                  <w:sz w:val="18"/>
                  <w:szCs w:val="18"/>
                </w:rPr>
                <w:t xml:space="preserve">Directiva Presidencial 08 </w:t>
              </w:r>
              <w:r w:rsidR="005B2F9E" w:rsidRPr="004A4E40">
                <w:rPr>
                  <w:rStyle w:val="Hipervnculo"/>
                  <w:rFonts w:ascii="Arial" w:hAnsi="Arial" w:cs="Arial"/>
                  <w:sz w:val="18"/>
                  <w:szCs w:val="18"/>
                </w:rPr>
                <w:t>del 17 de septiembre de</w:t>
              </w:r>
              <w:r w:rsidRPr="004A4E40">
                <w:rPr>
                  <w:rStyle w:val="Hipervnculo"/>
                  <w:rFonts w:ascii="Arial" w:hAnsi="Arial" w:cs="Arial"/>
                  <w:sz w:val="18"/>
                  <w:szCs w:val="18"/>
                </w:rPr>
                <w:t xml:space="preserve"> 2022</w:t>
              </w:r>
            </w:hyperlink>
          </w:p>
        </w:tc>
        <w:tc>
          <w:tcPr>
            <w:tcW w:w="1560" w:type="dxa"/>
            <w:tcBorders>
              <w:top w:val="dotted" w:sz="4" w:space="0" w:color="auto"/>
              <w:left w:val="dotted" w:sz="4" w:space="0" w:color="auto"/>
              <w:bottom w:val="dotted" w:sz="4" w:space="0" w:color="auto"/>
              <w:right w:val="dotted" w:sz="4" w:space="0" w:color="auto"/>
            </w:tcBorders>
            <w:vAlign w:val="center"/>
          </w:tcPr>
          <w:p w14:paraId="4565B3A0" w14:textId="4893A412" w:rsidR="006025B1" w:rsidRPr="00F05FB8" w:rsidRDefault="006025B1" w:rsidP="00B2520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b/>
                <w:sz w:val="18"/>
                <w:szCs w:val="18"/>
              </w:rPr>
              <w:t>Trimestral</w:t>
            </w:r>
          </w:p>
        </w:tc>
        <w:tc>
          <w:tcPr>
            <w:tcW w:w="3916" w:type="dxa"/>
            <w:tcBorders>
              <w:top w:val="dotted" w:sz="4" w:space="0" w:color="auto"/>
              <w:left w:val="dotted" w:sz="4" w:space="0" w:color="auto"/>
              <w:bottom w:val="dotted" w:sz="4" w:space="0" w:color="auto"/>
              <w:right w:val="dotted" w:sz="4" w:space="0" w:color="auto"/>
            </w:tcBorders>
            <w:vAlign w:val="center"/>
          </w:tcPr>
          <w:p w14:paraId="3D065045" w14:textId="402887C0" w:rsidR="006025B1" w:rsidRPr="00F05FB8" w:rsidRDefault="003A1197"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N/A</w:t>
            </w:r>
          </w:p>
        </w:tc>
        <w:tc>
          <w:tcPr>
            <w:tcW w:w="1620" w:type="dxa"/>
            <w:tcBorders>
              <w:top w:val="dotted" w:sz="4" w:space="0" w:color="auto"/>
              <w:left w:val="dotted" w:sz="4" w:space="0" w:color="auto"/>
              <w:bottom w:val="dotted" w:sz="4" w:space="0" w:color="auto"/>
              <w:right w:val="dotted" w:sz="4" w:space="0" w:color="auto"/>
            </w:tcBorders>
            <w:vAlign w:val="center"/>
          </w:tcPr>
          <w:p w14:paraId="4565B3A1" w14:textId="630A1ECE" w:rsidR="006025B1" w:rsidRPr="00F05FB8" w:rsidRDefault="006025B1"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Representante Legal</w:t>
            </w:r>
          </w:p>
        </w:tc>
        <w:tc>
          <w:tcPr>
            <w:tcW w:w="5400" w:type="dxa"/>
            <w:tcBorders>
              <w:top w:val="dotted" w:sz="4" w:space="0" w:color="auto"/>
              <w:left w:val="dotted" w:sz="4" w:space="0" w:color="auto"/>
              <w:bottom w:val="dotted" w:sz="4" w:space="0" w:color="auto"/>
              <w:right w:val="dotted" w:sz="4" w:space="0" w:color="auto"/>
            </w:tcBorders>
            <w:vAlign w:val="center"/>
          </w:tcPr>
          <w:p w14:paraId="12BF923D" w14:textId="10B94717" w:rsidR="007B0BD5" w:rsidRDefault="007A5342"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A5342">
              <w:rPr>
                <w:rFonts w:ascii="Arial" w:hAnsi="Arial" w:cs="Arial"/>
                <w:sz w:val="18"/>
                <w:szCs w:val="18"/>
              </w:rPr>
              <w:t>El informe de austeridad que presenten los Jefes de Control Interno podrá ser objeto de seguimiento por parte de la Contraloría General de la República a través del ejercicio de sus auditorías regulares</w:t>
            </w:r>
            <w:r>
              <w:rPr>
                <w:rFonts w:ascii="Arial" w:hAnsi="Arial" w:cs="Arial"/>
                <w:sz w:val="18"/>
                <w:szCs w:val="18"/>
              </w:rPr>
              <w:t>.</w:t>
            </w:r>
          </w:p>
          <w:p w14:paraId="2EE8EFA2" w14:textId="77777777" w:rsidR="007A5342" w:rsidRPr="00F05FB8" w:rsidRDefault="007A5342"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1447E655" w14:textId="77777777" w:rsidR="006025B1" w:rsidRPr="00F05FB8" w:rsidRDefault="006025B1"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565B3A2" w14:textId="255C113D" w:rsidR="006025B1" w:rsidRPr="00F05FB8" w:rsidRDefault="006025B1"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 xml:space="preserve">Decreto 1068 de 2015 Art. 2.8.4.1.2. </w:t>
            </w:r>
            <w:r w:rsidRPr="00F05FB8">
              <w:rPr>
                <w:rFonts w:ascii="Arial" w:hAnsi="Arial" w:cs="Arial"/>
                <w:sz w:val="18"/>
                <w:szCs w:val="18"/>
                <w:u w:val="single"/>
              </w:rPr>
              <w:t>Las entidades territoriales adoptarán medidas equivalentes a las aquí dispuestas en sus organizaciones administrativas.</w:t>
            </w:r>
          </w:p>
        </w:tc>
      </w:tr>
      <w:tr w:rsidR="00052C0E" w:rsidRPr="00F05FB8" w14:paraId="4565B3AD" w14:textId="77777777" w:rsidTr="000175AF">
        <w:trPr>
          <w:cnfStyle w:val="000000100000" w:firstRow="0" w:lastRow="0" w:firstColumn="0" w:lastColumn="0" w:oddVBand="0" w:evenVBand="0" w:oddHBand="1" w:evenHBand="0" w:firstRowFirstColumn="0" w:firstRowLastColumn="0" w:lastRowFirstColumn="0" w:lastRowLastColumn="0"/>
          <w:trHeight w:val="1819"/>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shd w:val="clear" w:color="auto" w:fill="auto"/>
            <w:vAlign w:val="center"/>
          </w:tcPr>
          <w:p w14:paraId="26C87F8D" w14:textId="77777777" w:rsidR="00052C0E" w:rsidRPr="00F05FB8" w:rsidRDefault="00052C0E"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565B3A4" w14:textId="297C0FF1" w:rsidR="00052C0E" w:rsidRPr="00F05FB8" w:rsidRDefault="00052C0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Informe de evaluación a la Gestión Institucional (Evaluación por dependencias)</w:t>
            </w:r>
          </w:p>
        </w:tc>
        <w:tc>
          <w:tcPr>
            <w:tcW w:w="2821" w:type="dxa"/>
            <w:tcBorders>
              <w:top w:val="dotted" w:sz="4" w:space="0" w:color="auto"/>
              <w:left w:val="dotted" w:sz="4" w:space="0" w:color="auto"/>
              <w:bottom w:val="dotted" w:sz="4" w:space="0" w:color="auto"/>
              <w:right w:val="dotted" w:sz="4" w:space="0" w:color="auto"/>
            </w:tcBorders>
            <w:vAlign w:val="center"/>
          </w:tcPr>
          <w:p w14:paraId="287EEF07" w14:textId="0EBD957A" w:rsidR="00052C0E" w:rsidRPr="004A4E40" w:rsidRDefault="00052C0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37" w:history="1">
              <w:r w:rsidRPr="004A4E40">
                <w:rPr>
                  <w:rStyle w:val="Hipervnculo"/>
                  <w:rFonts w:ascii="Arial" w:hAnsi="Arial" w:cs="Arial"/>
                  <w:sz w:val="18"/>
                  <w:szCs w:val="18"/>
                </w:rPr>
                <w:t>Ley 909 de septiembre 23 de 2004</w:t>
              </w:r>
              <w:r w:rsidR="006858CA" w:rsidRPr="004A4E40">
                <w:rPr>
                  <w:rStyle w:val="Hipervnculo"/>
                  <w:rFonts w:ascii="Arial" w:hAnsi="Arial" w:cs="Arial"/>
                  <w:sz w:val="18"/>
                  <w:szCs w:val="18"/>
                </w:rPr>
                <w:t xml:space="preserve">, </w:t>
              </w:r>
              <w:r w:rsidRPr="004A4E40">
                <w:rPr>
                  <w:rStyle w:val="Hipervnculo"/>
                  <w:rFonts w:ascii="Arial" w:hAnsi="Arial" w:cs="Arial"/>
                  <w:sz w:val="18"/>
                  <w:szCs w:val="18"/>
                </w:rPr>
                <w:t>Art. 39.</w:t>
              </w:r>
            </w:hyperlink>
          </w:p>
          <w:p w14:paraId="2099EC1A" w14:textId="77777777" w:rsidR="006858CA" w:rsidRPr="004A4E40" w:rsidRDefault="006858CA"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1B532250" w14:textId="491BA153" w:rsidR="00052C0E" w:rsidRPr="004A4E40" w:rsidRDefault="00052C0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38" w:history="1">
              <w:r w:rsidRPr="004A4E40">
                <w:rPr>
                  <w:rStyle w:val="Hipervnculo"/>
                  <w:rFonts w:ascii="Arial" w:hAnsi="Arial" w:cs="Arial"/>
                  <w:sz w:val="18"/>
                  <w:szCs w:val="18"/>
                </w:rPr>
                <w:t>Circular 04 de septiembre 27 de 2005 del Consejo Asesor del Gobierno Nacional en Materia de Control Interno.</w:t>
              </w:r>
            </w:hyperlink>
          </w:p>
          <w:p w14:paraId="4D864E88" w14:textId="5F582031" w:rsidR="00052C0E" w:rsidRPr="004A4E40" w:rsidRDefault="00052C0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4565B3A6" w14:textId="6CBE1872" w:rsidR="00052C0E" w:rsidRPr="004A4E40" w:rsidRDefault="00052C0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39" w:anchor="6176" w:history="1">
              <w:r w:rsidRPr="004A4E40">
                <w:rPr>
                  <w:rStyle w:val="Hipervnculo"/>
                  <w:rFonts w:ascii="Arial" w:hAnsi="Arial" w:cs="Arial"/>
                  <w:sz w:val="18"/>
                  <w:szCs w:val="18"/>
                </w:rPr>
                <w:t>Acuerdo 6176 de 2018 de la Comisión Nacional del Servicio Civil.</w:t>
              </w:r>
            </w:hyperlink>
          </w:p>
        </w:tc>
        <w:tc>
          <w:tcPr>
            <w:tcW w:w="1560" w:type="dxa"/>
            <w:tcBorders>
              <w:top w:val="dotted" w:sz="4" w:space="0" w:color="auto"/>
              <w:left w:val="dotted" w:sz="4" w:space="0" w:color="auto"/>
              <w:bottom w:val="dotted" w:sz="4" w:space="0" w:color="auto"/>
              <w:right w:val="dotted" w:sz="4" w:space="0" w:color="auto"/>
            </w:tcBorders>
            <w:vAlign w:val="center"/>
          </w:tcPr>
          <w:p w14:paraId="4565B3A8" w14:textId="5C05CAE5" w:rsidR="00052C0E" w:rsidRPr="00F05FB8" w:rsidRDefault="00052C0E" w:rsidP="00B2520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b/>
                <w:sz w:val="18"/>
                <w:szCs w:val="18"/>
              </w:rPr>
              <w:t>Anual</w:t>
            </w:r>
          </w:p>
        </w:tc>
        <w:tc>
          <w:tcPr>
            <w:tcW w:w="3916" w:type="dxa"/>
            <w:tcBorders>
              <w:top w:val="dotted" w:sz="4" w:space="0" w:color="auto"/>
              <w:left w:val="dotted" w:sz="4" w:space="0" w:color="auto"/>
              <w:bottom w:val="dotted" w:sz="4" w:space="0" w:color="auto"/>
              <w:right w:val="dotted" w:sz="4" w:space="0" w:color="auto"/>
            </w:tcBorders>
            <w:vAlign w:val="center"/>
          </w:tcPr>
          <w:p w14:paraId="274BAB02" w14:textId="65459100" w:rsidR="00052C0E" w:rsidRPr="00F05FB8" w:rsidRDefault="00052C0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A más tardar el 30 de enero de la siguiente vigencia.</w:t>
            </w:r>
          </w:p>
        </w:tc>
        <w:tc>
          <w:tcPr>
            <w:tcW w:w="1620" w:type="dxa"/>
            <w:tcBorders>
              <w:top w:val="dotted" w:sz="4" w:space="0" w:color="auto"/>
              <w:left w:val="dotted" w:sz="4" w:space="0" w:color="auto"/>
              <w:bottom w:val="dotted" w:sz="4" w:space="0" w:color="auto"/>
              <w:right w:val="dotted" w:sz="4" w:space="0" w:color="auto"/>
            </w:tcBorders>
            <w:vAlign w:val="center"/>
          </w:tcPr>
          <w:p w14:paraId="4565B3A9" w14:textId="723B7894" w:rsidR="00052C0E" w:rsidRPr="00F05FB8" w:rsidRDefault="00052C0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Representante Legal de la Entidad</w:t>
            </w:r>
          </w:p>
        </w:tc>
        <w:tc>
          <w:tcPr>
            <w:tcW w:w="5400" w:type="dxa"/>
            <w:tcBorders>
              <w:top w:val="dotted" w:sz="4" w:space="0" w:color="auto"/>
              <w:left w:val="dotted" w:sz="4" w:space="0" w:color="auto"/>
              <w:bottom w:val="dotted" w:sz="4" w:space="0" w:color="auto"/>
              <w:right w:val="dotted" w:sz="4" w:space="0" w:color="auto"/>
            </w:tcBorders>
            <w:vAlign w:val="center"/>
          </w:tcPr>
          <w:p w14:paraId="326C618D" w14:textId="680B7DBA" w:rsidR="00810BF9" w:rsidRPr="00F05FB8" w:rsidRDefault="00810BF9"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E</w:t>
            </w:r>
            <w:r w:rsidR="00495292" w:rsidRPr="00F05FB8">
              <w:rPr>
                <w:rFonts w:ascii="Arial" w:hAnsi="Arial" w:cs="Arial"/>
                <w:sz w:val="18"/>
                <w:szCs w:val="18"/>
              </w:rPr>
              <w:t>l</w:t>
            </w:r>
            <w:r w:rsidRPr="00F05FB8">
              <w:rPr>
                <w:rFonts w:ascii="Arial" w:hAnsi="Arial" w:cs="Arial"/>
                <w:sz w:val="18"/>
                <w:szCs w:val="18"/>
              </w:rPr>
              <w:t xml:space="preserve"> informe de evaluación por dependencias (o por procesos) tiene un primer objetivo que es facilitar al Representante Legal y demás líderes con personal a cargo de la entidad, un parámetro objetivo frente a la evaluación del desempeño, en aquellas entidades donde aplican, lo anterior teniendo en cuenta que debe existir una coherencia entre el desempeño de los servidores y los resultados frente a la gestión de los procesos en donde participan y en general frente a los resultados de la entidad.</w:t>
            </w:r>
          </w:p>
          <w:p w14:paraId="7A253D94" w14:textId="77777777" w:rsidR="00810BF9" w:rsidRPr="00F05FB8" w:rsidRDefault="00810BF9"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6E8DC96A" w14:textId="02E72FE6" w:rsidR="00052C0E" w:rsidRPr="00F05FB8" w:rsidRDefault="00052C0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Este informe se constituye en un insumo para la evaluación de los acuerdos de gestión (Gerentes Públicos) donde aplique.</w:t>
            </w:r>
          </w:p>
          <w:p w14:paraId="681B1C5C" w14:textId="77777777" w:rsidR="00052C0E" w:rsidRPr="00F05FB8" w:rsidRDefault="00052C0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4565B3AC" w14:textId="5074C6E4" w:rsidR="00052C0E" w:rsidRPr="00F05FB8" w:rsidRDefault="00052C0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La CNSC establece que se debe dar a conocer a los evaluadores el resultado de la Evaluación de Gestión por Áreas o Dependencias del año inmediatamente anterior, para que se tenga como uno de los criterios en la concertación de los compromisos del siguiente período de evaluación.</w:t>
            </w:r>
          </w:p>
        </w:tc>
      </w:tr>
      <w:tr w:rsidR="00A150C2" w:rsidRPr="00F05FB8" w14:paraId="4565B3B4" w14:textId="77777777" w:rsidTr="000175AF">
        <w:trPr>
          <w:trHeight w:val="1819"/>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vAlign w:val="center"/>
          </w:tcPr>
          <w:p w14:paraId="7C8C5D3A" w14:textId="77777777" w:rsidR="00A150C2" w:rsidRPr="00F05FB8" w:rsidRDefault="00A150C2"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565B3AE" w14:textId="327FF4B8" w:rsidR="00A150C2" w:rsidRPr="00F05FB8" w:rsidRDefault="00207B4A"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Seguimiento al Cumplimiento de las Obligaciones Establecidas para los Usuarios del Sistema Único de Gestión e Información Litigiosa del Estado-</w:t>
            </w:r>
            <w:proofErr w:type="spellStart"/>
            <w:r w:rsidRPr="00F05FB8">
              <w:rPr>
                <w:rFonts w:ascii="Arial" w:hAnsi="Arial" w:cs="Arial"/>
                <w:sz w:val="18"/>
                <w:szCs w:val="18"/>
              </w:rPr>
              <w:t>eKOGUI</w:t>
            </w:r>
            <w:proofErr w:type="spellEnd"/>
          </w:p>
        </w:tc>
        <w:tc>
          <w:tcPr>
            <w:tcW w:w="2821" w:type="dxa"/>
            <w:tcBorders>
              <w:top w:val="dotted" w:sz="4" w:space="0" w:color="auto"/>
              <w:left w:val="dotted" w:sz="4" w:space="0" w:color="auto"/>
              <w:bottom w:val="dotted" w:sz="4" w:space="0" w:color="auto"/>
              <w:right w:val="dotted" w:sz="4" w:space="0" w:color="auto"/>
            </w:tcBorders>
            <w:vAlign w:val="center"/>
          </w:tcPr>
          <w:p w14:paraId="738223FF" w14:textId="5A29DDAF" w:rsidR="00A150C2" w:rsidRPr="004A4E40" w:rsidRDefault="00A150C2"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40" w:history="1">
              <w:r w:rsidRPr="004A4E40">
                <w:rPr>
                  <w:rStyle w:val="Hipervnculo"/>
                  <w:rFonts w:ascii="Arial" w:hAnsi="Arial" w:cs="Arial"/>
                  <w:sz w:val="18"/>
                  <w:szCs w:val="18"/>
                </w:rPr>
                <w:t xml:space="preserve">Decreto 1069 de 2015, </w:t>
              </w:r>
              <w:r w:rsidR="00572DC8" w:rsidRPr="004A4E40">
                <w:rPr>
                  <w:rStyle w:val="Hipervnculo"/>
                  <w:rFonts w:ascii="Arial" w:hAnsi="Arial" w:cs="Arial"/>
                  <w:sz w:val="18"/>
                  <w:szCs w:val="18"/>
                </w:rPr>
                <w:t>A</w:t>
              </w:r>
              <w:r w:rsidRPr="004A4E40">
                <w:rPr>
                  <w:rStyle w:val="Hipervnculo"/>
                  <w:rFonts w:ascii="Arial" w:hAnsi="Arial" w:cs="Arial"/>
                  <w:sz w:val="18"/>
                  <w:szCs w:val="18"/>
                </w:rPr>
                <w:t>rtículo 2.2.3.4.1.14  (Decreto Único Reglamentario Sector Justicia y del Derecho)</w:t>
              </w:r>
            </w:hyperlink>
          </w:p>
          <w:p w14:paraId="3AA8CAFD" w14:textId="77777777" w:rsidR="001A7CBD" w:rsidRPr="004A4E40" w:rsidRDefault="001A7CBD"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68461C22" w14:textId="119D0794" w:rsidR="001A7CBD" w:rsidRPr="004A4E40" w:rsidRDefault="007B4E84"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41" w:history="1">
              <w:r w:rsidRPr="004A4E40">
                <w:rPr>
                  <w:rStyle w:val="Hipervnculo"/>
                  <w:rFonts w:ascii="Arial" w:hAnsi="Arial" w:cs="Arial"/>
                  <w:sz w:val="18"/>
                  <w:szCs w:val="18"/>
                </w:rPr>
                <w:t>Circular Externa No. 03 de 2021</w:t>
              </w:r>
              <w:r w:rsidR="001A7CBD" w:rsidRPr="004A4E40">
                <w:rPr>
                  <w:rStyle w:val="Hipervnculo"/>
                  <w:rFonts w:ascii="Arial" w:hAnsi="Arial" w:cs="Arial"/>
                  <w:sz w:val="18"/>
                  <w:szCs w:val="18"/>
                </w:rPr>
                <w:t xml:space="preserve"> de la Agencia Nacional de Defensa Jurídica del Estado</w:t>
              </w:r>
            </w:hyperlink>
          </w:p>
          <w:p w14:paraId="50386B31" w14:textId="1F751A02" w:rsidR="007B4E84" w:rsidRPr="004A4E40" w:rsidRDefault="007B4E84"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6A738515" w14:textId="01C9058C" w:rsidR="007B4E84" w:rsidRPr="004A4E40" w:rsidRDefault="007B4E84"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42" w:history="1">
              <w:r w:rsidRPr="004A4E40">
                <w:rPr>
                  <w:rStyle w:val="Hipervnculo"/>
                  <w:rFonts w:ascii="Arial" w:hAnsi="Arial" w:cs="Arial"/>
                  <w:sz w:val="18"/>
                  <w:szCs w:val="18"/>
                </w:rPr>
                <w:t>https://ekogui.defensajuridica.gov.co/sitios/ekogui/Documents/circular_externa_03_12_julio_2021_130721.pdf</w:t>
              </w:r>
            </w:hyperlink>
            <w:r w:rsidRPr="004A4E40">
              <w:rPr>
                <w:rFonts w:ascii="Arial" w:hAnsi="Arial" w:cs="Arial"/>
                <w:sz w:val="18"/>
                <w:szCs w:val="18"/>
              </w:rPr>
              <w:t xml:space="preserve"> </w:t>
            </w:r>
          </w:p>
          <w:p w14:paraId="77887198" w14:textId="77777777" w:rsidR="007C2F8F" w:rsidRPr="004A4E40" w:rsidRDefault="007C2F8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565B3AF" w14:textId="467D1EC7" w:rsidR="007C2F8F" w:rsidRPr="004A4E40" w:rsidRDefault="007C2F8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43" w:history="1">
              <w:r w:rsidRPr="004A4E40">
                <w:rPr>
                  <w:rStyle w:val="Hipervnculo"/>
                  <w:rFonts w:ascii="Arial" w:hAnsi="Arial" w:cs="Arial"/>
                  <w:sz w:val="18"/>
                  <w:szCs w:val="18"/>
                </w:rPr>
                <w:t xml:space="preserve">Instructivo del Sistema Único de Gestión e Información Litigiosa del Estado </w:t>
              </w:r>
              <w:proofErr w:type="spellStart"/>
              <w:r w:rsidRPr="004A4E40">
                <w:rPr>
                  <w:rStyle w:val="Hipervnculo"/>
                  <w:rFonts w:ascii="Arial" w:hAnsi="Arial" w:cs="Arial"/>
                  <w:sz w:val="18"/>
                  <w:szCs w:val="18"/>
                </w:rPr>
                <w:t>eKOGUI</w:t>
              </w:r>
              <w:proofErr w:type="spellEnd"/>
              <w:r w:rsidRPr="004A4E40">
                <w:rPr>
                  <w:rStyle w:val="Hipervnculo"/>
                  <w:rFonts w:ascii="Arial" w:hAnsi="Arial" w:cs="Arial"/>
                  <w:sz w:val="18"/>
                  <w:szCs w:val="18"/>
                </w:rPr>
                <w:t xml:space="preserve"> – Perfil Jefes de</w:t>
              </w:r>
              <w:r w:rsidR="003D7B43" w:rsidRPr="004A4E40">
                <w:rPr>
                  <w:rStyle w:val="Hipervnculo"/>
                  <w:rFonts w:ascii="Arial" w:hAnsi="Arial" w:cs="Arial"/>
                  <w:sz w:val="18"/>
                  <w:szCs w:val="18"/>
                </w:rPr>
                <w:t xml:space="preserve"> </w:t>
              </w:r>
              <w:r w:rsidRPr="004A4E40">
                <w:rPr>
                  <w:rStyle w:val="Hipervnculo"/>
                  <w:rFonts w:ascii="Arial" w:hAnsi="Arial" w:cs="Arial"/>
                  <w:sz w:val="18"/>
                  <w:szCs w:val="18"/>
                </w:rPr>
                <w:t>Control Interno, versión</w:t>
              </w:r>
              <w:r w:rsidR="003D7B43" w:rsidRPr="004A4E40">
                <w:rPr>
                  <w:rStyle w:val="Hipervnculo"/>
                  <w:rFonts w:ascii="Arial" w:hAnsi="Arial" w:cs="Arial"/>
                  <w:sz w:val="18"/>
                  <w:szCs w:val="18"/>
                </w:rPr>
                <w:t xml:space="preserve"> v</w:t>
              </w:r>
              <w:r w:rsidRPr="004A4E40">
                <w:rPr>
                  <w:rStyle w:val="Hipervnculo"/>
                  <w:rFonts w:ascii="Arial" w:hAnsi="Arial" w:cs="Arial"/>
                  <w:sz w:val="18"/>
                  <w:szCs w:val="18"/>
                </w:rPr>
                <w:t>igente de la Agencia Nacional de Defensa Jurídica del Estado</w:t>
              </w:r>
            </w:hyperlink>
          </w:p>
        </w:tc>
        <w:tc>
          <w:tcPr>
            <w:tcW w:w="1560" w:type="dxa"/>
            <w:tcBorders>
              <w:top w:val="dotted" w:sz="4" w:space="0" w:color="auto"/>
              <w:left w:val="dotted" w:sz="4" w:space="0" w:color="auto"/>
              <w:bottom w:val="dotted" w:sz="4" w:space="0" w:color="auto"/>
              <w:right w:val="dotted" w:sz="4" w:space="0" w:color="auto"/>
            </w:tcBorders>
            <w:vAlign w:val="center"/>
          </w:tcPr>
          <w:p w14:paraId="4565B3B0" w14:textId="1543761B" w:rsidR="00A150C2" w:rsidRPr="00F05FB8" w:rsidRDefault="00A150C2" w:rsidP="00B2520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F05FB8">
              <w:rPr>
                <w:rFonts w:ascii="Arial" w:hAnsi="Arial" w:cs="Arial"/>
                <w:b/>
                <w:sz w:val="18"/>
                <w:szCs w:val="18"/>
              </w:rPr>
              <w:t>Semestral</w:t>
            </w:r>
          </w:p>
        </w:tc>
        <w:tc>
          <w:tcPr>
            <w:tcW w:w="3916" w:type="dxa"/>
            <w:tcBorders>
              <w:top w:val="dotted" w:sz="4" w:space="0" w:color="auto"/>
              <w:left w:val="dotted" w:sz="4" w:space="0" w:color="auto"/>
              <w:bottom w:val="dotted" w:sz="4" w:space="0" w:color="auto"/>
              <w:right w:val="dotted" w:sz="4" w:space="0" w:color="auto"/>
            </w:tcBorders>
            <w:vAlign w:val="center"/>
          </w:tcPr>
          <w:p w14:paraId="0FF4BEFE" w14:textId="67F0B8C3" w:rsidR="00A150C2" w:rsidRPr="00F05FB8" w:rsidRDefault="00D01E8A"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N/A</w:t>
            </w:r>
          </w:p>
        </w:tc>
        <w:tc>
          <w:tcPr>
            <w:tcW w:w="1620" w:type="dxa"/>
            <w:tcBorders>
              <w:top w:val="dotted" w:sz="4" w:space="0" w:color="auto"/>
              <w:left w:val="dotted" w:sz="4" w:space="0" w:color="auto"/>
              <w:bottom w:val="dotted" w:sz="4" w:space="0" w:color="auto"/>
              <w:right w:val="dotted" w:sz="4" w:space="0" w:color="auto"/>
            </w:tcBorders>
            <w:vAlign w:val="center"/>
          </w:tcPr>
          <w:p w14:paraId="4565B3B1" w14:textId="79E8071B" w:rsidR="00A150C2" w:rsidRPr="00F05FB8" w:rsidRDefault="00A150C2"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Agencia de Defensa Jurídica del Estado</w:t>
            </w:r>
          </w:p>
        </w:tc>
        <w:tc>
          <w:tcPr>
            <w:tcW w:w="5400" w:type="dxa"/>
            <w:tcBorders>
              <w:top w:val="dotted" w:sz="4" w:space="0" w:color="auto"/>
              <w:left w:val="dotted" w:sz="4" w:space="0" w:color="auto"/>
              <w:bottom w:val="dotted" w:sz="4" w:space="0" w:color="auto"/>
              <w:right w:val="dotted" w:sz="4" w:space="0" w:color="auto"/>
            </w:tcBorders>
            <w:vAlign w:val="center"/>
          </w:tcPr>
          <w:p w14:paraId="55658793" w14:textId="77777777" w:rsidR="00A150C2" w:rsidRPr="00F05FB8" w:rsidRDefault="00A150C2"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Los jefes de control interno de cada entidad verificarán el cumplimiento de las obligaciones establecidas en el presente capítulo a través de los procedimientos internos que se establezcan y de conformidad con los protocolos establecidos por la Dirección de Gestión de Información de la Agencia y enviarán semestralmente certificación sobre el resultado de la verificación, sin perjuicio de las acciones que se estimen pertinentes dentro de los planes de mejoramiento institucionales para asegurar la calidad de la información contenida en el Sistema.</w:t>
            </w:r>
          </w:p>
          <w:p w14:paraId="7A3D586B" w14:textId="77777777" w:rsidR="008946FA" w:rsidRPr="00F05FB8" w:rsidRDefault="008946FA"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30648407" w14:textId="77C2DA54" w:rsidR="008946FA" w:rsidRPr="00F05FB8" w:rsidRDefault="008946FA"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Obligatorio para las entidades y organismos del orden nacional</w:t>
            </w:r>
          </w:p>
          <w:p w14:paraId="330EFA7B" w14:textId="77777777" w:rsidR="00A150C2" w:rsidRPr="00F05FB8" w:rsidRDefault="00A150C2"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1E436F11" w14:textId="77777777" w:rsidR="00A150C2" w:rsidRPr="00F05FB8" w:rsidRDefault="00A150C2"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Entidades del orden territorial harán seguimiento a la Gestión e Información de la Actividad Litigiosa de su entidad, acorde con los lineamientos generales definidos por la Agencia de Defensa Jurídica del Estado.</w:t>
            </w:r>
          </w:p>
          <w:p w14:paraId="14CB8A58" w14:textId="77777777" w:rsidR="00C84275" w:rsidRPr="00F05FB8" w:rsidRDefault="00C84275"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03B707C6" w14:textId="77777777" w:rsidR="00C84275" w:rsidRPr="00F05FB8" w:rsidRDefault="00C84275"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El JEFE DE OFICINA DE CONTROL INTERNO deberá remitir dos certificaciones al año, en las cuales conste el cumplimiento de las obligaciones de cada uno de los usuarios del Sistema Único de Gestión e Información Litigiosa del Estado frente al Decreto 1069 de 2015 y a los instructivos expedidos para su correcta utilización.</w:t>
            </w:r>
          </w:p>
          <w:p w14:paraId="16FE16C4" w14:textId="77777777" w:rsidR="00C84275" w:rsidRPr="00F05FB8" w:rsidRDefault="00C84275"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565B3B3" w14:textId="1FB1F93E" w:rsidR="00C84275" w:rsidRPr="00F05FB8" w:rsidRDefault="00C84275"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lastRenderedPageBreak/>
              <w:t>El archivo de Excel debe ser diligenciado y enviado al correo electrónico soporte.ekogui@defensajuridica.gov.co; el archivo debe ser grabado con el nombre de la entidad.</w:t>
            </w:r>
          </w:p>
        </w:tc>
      </w:tr>
      <w:tr w:rsidR="0093699E" w:rsidRPr="00F05FB8" w14:paraId="4565B3BD" w14:textId="77777777" w:rsidTr="000175AF">
        <w:trPr>
          <w:cnfStyle w:val="000000100000" w:firstRow="0" w:lastRow="0" w:firstColumn="0" w:lastColumn="0" w:oddVBand="0" w:evenVBand="0" w:oddHBand="1" w:evenHBand="0" w:firstRowFirstColumn="0" w:firstRowLastColumn="0" w:lastRowFirstColumn="0" w:lastRowLastColumn="0"/>
          <w:trHeight w:val="1041"/>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shd w:val="clear" w:color="auto" w:fill="auto"/>
            <w:vAlign w:val="center"/>
          </w:tcPr>
          <w:p w14:paraId="6B13B901" w14:textId="77777777" w:rsidR="0093699E" w:rsidRPr="00F05FB8" w:rsidRDefault="0093699E"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565B3B5" w14:textId="28291924" w:rsidR="0093699E" w:rsidRPr="00F05FB8" w:rsidRDefault="0093699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Informe de cumplimiento del Plan de Mejoramiento Archivístico</w:t>
            </w:r>
          </w:p>
        </w:tc>
        <w:tc>
          <w:tcPr>
            <w:tcW w:w="2821" w:type="dxa"/>
            <w:tcBorders>
              <w:top w:val="dotted" w:sz="4" w:space="0" w:color="auto"/>
              <w:left w:val="dotted" w:sz="4" w:space="0" w:color="auto"/>
              <w:bottom w:val="dotted" w:sz="4" w:space="0" w:color="auto"/>
              <w:right w:val="dotted" w:sz="4" w:space="0" w:color="auto"/>
            </w:tcBorders>
            <w:vAlign w:val="center"/>
          </w:tcPr>
          <w:p w14:paraId="4565B3B6" w14:textId="3675086D" w:rsidR="0093699E" w:rsidRPr="004A4E40" w:rsidRDefault="0093699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44" w:history="1">
              <w:r w:rsidRPr="004A4E40">
                <w:rPr>
                  <w:rStyle w:val="Hipervnculo"/>
                  <w:rFonts w:ascii="Arial" w:hAnsi="Arial" w:cs="Arial"/>
                  <w:sz w:val="18"/>
                  <w:szCs w:val="18"/>
                </w:rPr>
                <w:t>Decreto 106 de 2015, artículos 17 y 18 (parágrafo 2º)</w:t>
              </w:r>
            </w:hyperlink>
          </w:p>
        </w:tc>
        <w:tc>
          <w:tcPr>
            <w:tcW w:w="1560" w:type="dxa"/>
            <w:tcBorders>
              <w:top w:val="dotted" w:sz="4" w:space="0" w:color="auto"/>
              <w:left w:val="dotted" w:sz="4" w:space="0" w:color="auto"/>
              <w:bottom w:val="dotted" w:sz="4" w:space="0" w:color="auto"/>
              <w:right w:val="dotted" w:sz="4" w:space="0" w:color="auto"/>
            </w:tcBorders>
            <w:vAlign w:val="center"/>
          </w:tcPr>
          <w:p w14:paraId="4565B3B8" w14:textId="286E61B5" w:rsidR="0093699E" w:rsidRPr="00F05FB8" w:rsidRDefault="0093699E" w:rsidP="00B2520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F05FB8">
              <w:rPr>
                <w:rFonts w:ascii="Arial" w:hAnsi="Arial" w:cs="Arial"/>
                <w:b/>
                <w:sz w:val="18"/>
                <w:szCs w:val="18"/>
              </w:rPr>
              <w:t>Trimestral</w:t>
            </w:r>
          </w:p>
        </w:tc>
        <w:tc>
          <w:tcPr>
            <w:tcW w:w="3916" w:type="dxa"/>
            <w:tcBorders>
              <w:top w:val="dotted" w:sz="4" w:space="0" w:color="auto"/>
              <w:left w:val="dotted" w:sz="4" w:space="0" w:color="auto"/>
              <w:bottom w:val="dotted" w:sz="4" w:space="0" w:color="auto"/>
              <w:right w:val="dotted" w:sz="4" w:space="0" w:color="auto"/>
            </w:tcBorders>
            <w:vAlign w:val="center"/>
          </w:tcPr>
          <w:p w14:paraId="3A7D8D9B" w14:textId="4C2DF77A" w:rsidR="0093699E" w:rsidRPr="00F05FB8" w:rsidRDefault="00512BD9"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N/A</w:t>
            </w:r>
          </w:p>
        </w:tc>
        <w:tc>
          <w:tcPr>
            <w:tcW w:w="1620" w:type="dxa"/>
            <w:tcBorders>
              <w:top w:val="dotted" w:sz="4" w:space="0" w:color="auto"/>
              <w:left w:val="dotted" w:sz="4" w:space="0" w:color="auto"/>
              <w:bottom w:val="dotted" w:sz="4" w:space="0" w:color="auto"/>
              <w:right w:val="dotted" w:sz="4" w:space="0" w:color="auto"/>
            </w:tcBorders>
            <w:vAlign w:val="center"/>
          </w:tcPr>
          <w:p w14:paraId="4565B3B9" w14:textId="2DA7195F" w:rsidR="0093699E" w:rsidRPr="00F05FB8" w:rsidRDefault="0093699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Archivo General de la Nación</w:t>
            </w:r>
          </w:p>
        </w:tc>
        <w:tc>
          <w:tcPr>
            <w:tcW w:w="5400" w:type="dxa"/>
            <w:tcBorders>
              <w:top w:val="dotted" w:sz="4" w:space="0" w:color="auto"/>
              <w:left w:val="dotted" w:sz="4" w:space="0" w:color="auto"/>
              <w:bottom w:val="dotted" w:sz="4" w:space="0" w:color="auto"/>
              <w:right w:val="dotted" w:sz="4" w:space="0" w:color="auto"/>
            </w:tcBorders>
            <w:vAlign w:val="center"/>
          </w:tcPr>
          <w:p w14:paraId="4565B3BC" w14:textId="7E852953" w:rsidR="0093699E" w:rsidRPr="00F05FB8" w:rsidRDefault="0093699E"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La Oficina de Control Interno de la entidad inspeccionada deberá realizar seguimiento y reportar trimestralmente al Archivo General de la Nación los avances del cumplimiento del Plan de Mejoramiento Archivístico. (Para entidades que ha recibido visita de inspección por parte del Archivo General de la Nación).</w:t>
            </w:r>
          </w:p>
        </w:tc>
      </w:tr>
      <w:tr w:rsidR="00B60758" w:rsidRPr="00F05FB8" w14:paraId="4565B3C6" w14:textId="77777777" w:rsidTr="000175AF">
        <w:trPr>
          <w:trHeight w:val="617"/>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vAlign w:val="center"/>
          </w:tcPr>
          <w:p w14:paraId="2F16D802" w14:textId="77777777" w:rsidR="00B60758" w:rsidRPr="00F05FB8" w:rsidRDefault="00B60758"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565B3BE" w14:textId="04117354" w:rsidR="00B60758" w:rsidRPr="00F05FB8" w:rsidRDefault="00B60758"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Seguimiento al fortalecimiento de la meritocracia en el Estado Colombiano</w:t>
            </w:r>
          </w:p>
        </w:tc>
        <w:tc>
          <w:tcPr>
            <w:tcW w:w="2821" w:type="dxa"/>
            <w:tcBorders>
              <w:top w:val="dotted" w:sz="4" w:space="0" w:color="auto"/>
              <w:left w:val="dotted" w:sz="4" w:space="0" w:color="auto"/>
              <w:bottom w:val="dotted" w:sz="4" w:space="0" w:color="auto"/>
              <w:right w:val="dotted" w:sz="4" w:space="0" w:color="auto"/>
            </w:tcBorders>
            <w:vAlign w:val="center"/>
          </w:tcPr>
          <w:p w14:paraId="2C821A22" w14:textId="742EF41F" w:rsidR="00B60758" w:rsidRPr="004A4E40" w:rsidRDefault="00B60758"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45" w:history="1">
              <w:r w:rsidRPr="004A4E40">
                <w:rPr>
                  <w:rStyle w:val="Hipervnculo"/>
                  <w:rFonts w:ascii="Arial" w:hAnsi="Arial" w:cs="Arial"/>
                  <w:sz w:val="18"/>
                  <w:szCs w:val="18"/>
                </w:rPr>
                <w:t>Ley 909 de 2004</w:t>
              </w:r>
            </w:hyperlink>
          </w:p>
          <w:p w14:paraId="7E6F65B5" w14:textId="77777777" w:rsidR="00B60758" w:rsidRPr="004A4E40" w:rsidRDefault="00B60758"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1631622C" w14:textId="42D119E9" w:rsidR="00B60758" w:rsidRPr="004A4E40" w:rsidRDefault="00B60758"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46" w:history="1">
              <w:r w:rsidRPr="004A4E40">
                <w:rPr>
                  <w:rStyle w:val="Hipervnculo"/>
                  <w:rFonts w:ascii="Arial" w:hAnsi="Arial" w:cs="Arial"/>
                  <w:sz w:val="18"/>
                  <w:szCs w:val="18"/>
                </w:rPr>
                <w:t>Decreto 1083 de 2015,  Articulo 2.2.17.1 y posteriores</w:t>
              </w:r>
            </w:hyperlink>
          </w:p>
          <w:p w14:paraId="7F8FE0F6" w14:textId="77777777" w:rsidR="00B60758" w:rsidRPr="004A4E40" w:rsidRDefault="00B60758"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62C1033B" w14:textId="66348375" w:rsidR="00B60758" w:rsidRPr="004A4E40" w:rsidRDefault="007B4E84"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47" w:history="1">
              <w:r w:rsidRPr="004A4E40">
                <w:rPr>
                  <w:rStyle w:val="Hipervnculo"/>
                  <w:rFonts w:ascii="Arial" w:hAnsi="Arial" w:cs="Arial"/>
                  <w:sz w:val="18"/>
                  <w:szCs w:val="18"/>
                </w:rPr>
                <w:t xml:space="preserve">Directiva 015 de 2022 Procuraduría General de la </w:t>
              </w:r>
              <w:bookmarkStart w:id="0" w:name="_Hlk93657672"/>
              <w:r w:rsidRPr="004A4E40">
                <w:rPr>
                  <w:rStyle w:val="Hipervnculo"/>
                  <w:rFonts w:ascii="Arial" w:hAnsi="Arial" w:cs="Arial"/>
                  <w:sz w:val="18"/>
                  <w:szCs w:val="18"/>
                </w:rPr>
                <w:t>Nación</w:t>
              </w:r>
            </w:hyperlink>
          </w:p>
          <w:p w14:paraId="177799DF" w14:textId="77777777" w:rsidR="007B4E84" w:rsidRPr="004A4E40" w:rsidRDefault="007B4E84"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565B3BF" w14:textId="15930EC9" w:rsidR="00B60758" w:rsidRPr="004A4E40" w:rsidRDefault="00B60758"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48" w:history="1">
              <w:r w:rsidRPr="004A4E40">
                <w:rPr>
                  <w:rStyle w:val="Hipervnculo"/>
                  <w:rFonts w:ascii="Arial" w:hAnsi="Arial" w:cs="Arial"/>
                  <w:sz w:val="18"/>
                  <w:szCs w:val="18"/>
                </w:rPr>
                <w:t>Ley 2013 de 20</w:t>
              </w:r>
              <w:bookmarkEnd w:id="0"/>
              <w:r w:rsidRPr="004A4E40">
                <w:rPr>
                  <w:rStyle w:val="Hipervnculo"/>
                  <w:rFonts w:ascii="Arial" w:hAnsi="Arial" w:cs="Arial"/>
                  <w:sz w:val="18"/>
                  <w:szCs w:val="18"/>
                </w:rPr>
                <w:t>19 “Por medio del cual se busca garantizar el cumplimiento de los principios de transparencia y publicidad mediante la publicación de las declaraciones de bienes, renta y el registro de los conflictos de interés”</w:t>
              </w:r>
            </w:hyperlink>
          </w:p>
        </w:tc>
        <w:tc>
          <w:tcPr>
            <w:tcW w:w="5476" w:type="dxa"/>
            <w:gridSpan w:val="2"/>
            <w:tcBorders>
              <w:top w:val="dotted" w:sz="4" w:space="0" w:color="auto"/>
              <w:left w:val="dotted" w:sz="4" w:space="0" w:color="auto"/>
              <w:bottom w:val="dotted" w:sz="4" w:space="0" w:color="auto"/>
              <w:right w:val="dotted" w:sz="4" w:space="0" w:color="auto"/>
            </w:tcBorders>
            <w:vAlign w:val="center"/>
          </w:tcPr>
          <w:p w14:paraId="05679071" w14:textId="2AB2E8D9" w:rsidR="00B60758" w:rsidRPr="00F05FB8" w:rsidRDefault="00B60758"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De acuerdo a los lineamientos definidos en la materia</w:t>
            </w:r>
          </w:p>
        </w:tc>
        <w:tc>
          <w:tcPr>
            <w:tcW w:w="1620" w:type="dxa"/>
            <w:tcBorders>
              <w:top w:val="dotted" w:sz="4" w:space="0" w:color="auto"/>
              <w:left w:val="dotted" w:sz="4" w:space="0" w:color="auto"/>
              <w:bottom w:val="dotted" w:sz="4" w:space="0" w:color="auto"/>
              <w:right w:val="dotted" w:sz="4" w:space="0" w:color="auto"/>
            </w:tcBorders>
            <w:vAlign w:val="center"/>
          </w:tcPr>
          <w:p w14:paraId="4565B3C2" w14:textId="1CEAFD45" w:rsidR="00B60758" w:rsidRPr="00F05FB8" w:rsidRDefault="00B60758"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Representante Legal</w:t>
            </w:r>
          </w:p>
        </w:tc>
        <w:tc>
          <w:tcPr>
            <w:tcW w:w="5400" w:type="dxa"/>
            <w:tcBorders>
              <w:top w:val="dotted" w:sz="4" w:space="0" w:color="auto"/>
              <w:left w:val="dotted" w:sz="4" w:space="0" w:color="auto"/>
              <w:bottom w:val="dotted" w:sz="4" w:space="0" w:color="auto"/>
              <w:right w:val="dotted" w:sz="4" w:space="0" w:color="auto"/>
            </w:tcBorders>
            <w:vAlign w:val="center"/>
          </w:tcPr>
          <w:p w14:paraId="7E02F63C" w14:textId="77777777" w:rsidR="00B60758" w:rsidRPr="00F05FB8" w:rsidRDefault="00B60758"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Los jefes de control interno o quienes hagan sus veces, como responsables en el acompañamiento en la gestión institucional, deben realizar un seguimiento permanente para que la respectiva entidad cumpla con las obligaciones derivadas del presente decreto, en los términos y las condiciones en él establecidos y de acuerdo con las instrucciones que imparta el Departamento Administrativo de la Función Pública. Así mismo, ejercer control y seguimiento al cumplimiento de la Circular en los temas allí definidos: i) Obligaciones relacionadas con la actualización del OPEC; ii) Obligaciones relacionadas con la actualización del SIGEP, Plan Anual de Vacantes y la Declaración de Bienes y Rentas.</w:t>
            </w:r>
          </w:p>
          <w:p w14:paraId="4565B3C5" w14:textId="52AD6883" w:rsidR="00B60758" w:rsidRPr="00F05FB8" w:rsidRDefault="00B60758"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Seguimiento al cumplimiento requerimientos frente a la publicación de las declaraciones de bienes y rentas, del registro de conflictos de interés y la declaración del impuesto sobre la renta y complementarios para los servidores objeto de la Ley 2013 de 2019.</w:t>
            </w:r>
          </w:p>
        </w:tc>
      </w:tr>
      <w:tr w:rsidR="003B34FC" w:rsidRPr="00F05FB8" w14:paraId="4565B3D4" w14:textId="77777777" w:rsidTr="00330CD8">
        <w:trPr>
          <w:cnfStyle w:val="000000100000" w:firstRow="0" w:lastRow="0" w:firstColumn="0" w:lastColumn="0" w:oddVBand="0" w:evenVBand="0" w:oddHBand="1" w:evenHBand="0" w:firstRowFirstColumn="0" w:firstRowLastColumn="0" w:lastRowFirstColumn="0" w:lastRowLastColumn="0"/>
          <w:trHeight w:val="805"/>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shd w:val="clear" w:color="auto" w:fill="auto"/>
            <w:vAlign w:val="center"/>
          </w:tcPr>
          <w:p w14:paraId="5EA4260D" w14:textId="77777777" w:rsidR="003B34FC" w:rsidRPr="00F05FB8" w:rsidRDefault="003B34FC"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565B3C7" w14:textId="53221561" w:rsidR="003B34FC" w:rsidRPr="00F05FB8" w:rsidRDefault="004D59B4"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Seguimiento asuntos sobre proceso contable</w:t>
            </w:r>
          </w:p>
        </w:tc>
        <w:tc>
          <w:tcPr>
            <w:tcW w:w="2821" w:type="dxa"/>
            <w:tcBorders>
              <w:top w:val="dotted" w:sz="4" w:space="0" w:color="auto"/>
              <w:left w:val="dotted" w:sz="4" w:space="0" w:color="auto"/>
              <w:bottom w:val="dotted" w:sz="4" w:space="0" w:color="auto"/>
              <w:right w:val="dotted" w:sz="4" w:space="0" w:color="auto"/>
            </w:tcBorders>
            <w:vAlign w:val="center"/>
          </w:tcPr>
          <w:p w14:paraId="4565B3CE" w14:textId="097EA6B8" w:rsidR="003B34FC" w:rsidRPr="004A4E40" w:rsidRDefault="003B34FC"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49" w:history="1">
              <w:r w:rsidRPr="004A4E40">
                <w:rPr>
                  <w:rStyle w:val="Hipervnculo"/>
                  <w:rFonts w:ascii="Arial" w:hAnsi="Arial" w:cs="Arial"/>
                  <w:sz w:val="18"/>
                  <w:szCs w:val="18"/>
                </w:rPr>
                <w:t>Instructivo No. 001 del 24 diciembre de 2021 (Se deben revisar lineamientos actualizados en cada vigencia) Contaduría General de la Nación</w:t>
              </w:r>
            </w:hyperlink>
          </w:p>
        </w:tc>
        <w:tc>
          <w:tcPr>
            <w:tcW w:w="1560" w:type="dxa"/>
            <w:tcBorders>
              <w:top w:val="dotted" w:sz="4" w:space="0" w:color="auto"/>
              <w:left w:val="dotted" w:sz="4" w:space="0" w:color="auto"/>
              <w:bottom w:val="dotted" w:sz="4" w:space="0" w:color="auto"/>
              <w:right w:val="dotted" w:sz="4" w:space="0" w:color="auto"/>
            </w:tcBorders>
            <w:vAlign w:val="center"/>
          </w:tcPr>
          <w:p w14:paraId="4565B3CF" w14:textId="2B72FB71" w:rsidR="003B34FC" w:rsidRPr="00F05FB8" w:rsidRDefault="003B34FC" w:rsidP="000175A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F05FB8">
              <w:rPr>
                <w:rFonts w:ascii="Arial" w:hAnsi="Arial" w:cs="Arial"/>
                <w:b/>
                <w:bCs/>
                <w:sz w:val="18"/>
                <w:szCs w:val="18"/>
              </w:rPr>
              <w:t>De acuerdo a los</w:t>
            </w:r>
            <w:r w:rsidR="000175AF" w:rsidRPr="00F05FB8">
              <w:rPr>
                <w:rFonts w:ascii="Arial" w:hAnsi="Arial" w:cs="Arial"/>
                <w:b/>
                <w:bCs/>
                <w:sz w:val="18"/>
                <w:szCs w:val="18"/>
              </w:rPr>
              <w:t xml:space="preserve"> </w:t>
            </w:r>
            <w:r w:rsidRPr="00F05FB8">
              <w:rPr>
                <w:rFonts w:ascii="Arial" w:hAnsi="Arial" w:cs="Arial"/>
                <w:b/>
                <w:bCs/>
                <w:sz w:val="18"/>
                <w:szCs w:val="18"/>
              </w:rPr>
              <w:t>lineamientos definidos en la materia</w:t>
            </w:r>
          </w:p>
        </w:tc>
        <w:tc>
          <w:tcPr>
            <w:tcW w:w="3916" w:type="dxa"/>
            <w:tcBorders>
              <w:top w:val="dotted" w:sz="4" w:space="0" w:color="auto"/>
              <w:left w:val="dotted" w:sz="4" w:space="0" w:color="auto"/>
              <w:bottom w:val="dotted" w:sz="4" w:space="0" w:color="auto"/>
              <w:right w:val="dotted" w:sz="4" w:space="0" w:color="auto"/>
            </w:tcBorders>
            <w:vAlign w:val="center"/>
          </w:tcPr>
          <w:p w14:paraId="6B95F046" w14:textId="69ADAD84" w:rsidR="003B34FC" w:rsidRPr="00F05FB8" w:rsidRDefault="00410312"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N/A</w:t>
            </w:r>
          </w:p>
        </w:tc>
        <w:tc>
          <w:tcPr>
            <w:tcW w:w="1620" w:type="dxa"/>
            <w:tcBorders>
              <w:top w:val="dotted" w:sz="4" w:space="0" w:color="auto"/>
              <w:left w:val="dotted" w:sz="4" w:space="0" w:color="auto"/>
              <w:bottom w:val="dotted" w:sz="4" w:space="0" w:color="auto"/>
              <w:right w:val="dotted" w:sz="4" w:space="0" w:color="auto"/>
            </w:tcBorders>
            <w:vAlign w:val="center"/>
          </w:tcPr>
          <w:p w14:paraId="4565B3D0" w14:textId="68D0865C" w:rsidR="003B34FC" w:rsidRPr="00F05FB8" w:rsidRDefault="003B34FC"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Contaduría General de la Nación</w:t>
            </w:r>
          </w:p>
        </w:tc>
        <w:tc>
          <w:tcPr>
            <w:tcW w:w="5400" w:type="dxa"/>
            <w:tcBorders>
              <w:top w:val="dotted" w:sz="4" w:space="0" w:color="auto"/>
              <w:left w:val="dotted" w:sz="4" w:space="0" w:color="auto"/>
              <w:bottom w:val="dotted" w:sz="4" w:space="0" w:color="auto"/>
              <w:right w:val="dotted" w:sz="4" w:space="0" w:color="auto"/>
            </w:tcBorders>
            <w:vAlign w:val="center"/>
          </w:tcPr>
          <w:p w14:paraId="73351F5E" w14:textId="77777777" w:rsidR="003B34FC" w:rsidRPr="00F05FB8" w:rsidRDefault="003B34FC"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sz w:val="18"/>
                <w:szCs w:val="18"/>
              </w:rPr>
              <w:t>Dirigido a Representantes Legales y otros Directivos, Jefes de áreas Financieras, Jefes de Control Interno, Jefes de Contabilidad y Contadores de las entidades públicas de los niveles nacional y territorial.</w:t>
            </w:r>
          </w:p>
          <w:p w14:paraId="43162E2D" w14:textId="77777777" w:rsidR="00B43F26" w:rsidRPr="00F05FB8" w:rsidRDefault="00B43F26"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41D013AB" w14:textId="77777777" w:rsidR="00B43F26" w:rsidRPr="00F05FB8" w:rsidRDefault="00B43F26"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i/>
                <w:iCs/>
                <w:sz w:val="18"/>
                <w:szCs w:val="18"/>
              </w:rPr>
            </w:pPr>
            <w:r w:rsidRPr="00F05FB8">
              <w:rPr>
                <w:rFonts w:ascii="Arial" w:hAnsi="Arial" w:cs="Arial"/>
                <w:sz w:val="18"/>
                <w:szCs w:val="18"/>
              </w:rPr>
              <w:t xml:space="preserve">“(…) </w:t>
            </w:r>
            <w:r w:rsidRPr="00F05FB8">
              <w:rPr>
                <w:rFonts w:ascii="Arial" w:hAnsi="Arial" w:cs="Arial"/>
                <w:i/>
                <w:iCs/>
                <w:sz w:val="18"/>
                <w:szCs w:val="18"/>
              </w:rPr>
              <w:t xml:space="preserve">4.3. </w:t>
            </w:r>
            <w:r w:rsidR="00994CF6" w:rsidRPr="00F05FB8">
              <w:rPr>
                <w:rFonts w:ascii="Arial" w:hAnsi="Arial" w:cs="Arial"/>
                <w:i/>
                <w:iCs/>
                <w:sz w:val="18"/>
                <w:szCs w:val="18"/>
              </w:rPr>
              <w:t>Control interno contable</w:t>
            </w:r>
          </w:p>
          <w:p w14:paraId="262E478A" w14:textId="77777777" w:rsidR="00994CF6" w:rsidRPr="00F05FB8" w:rsidRDefault="00994CF6"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i/>
                <w:iCs/>
                <w:sz w:val="18"/>
                <w:szCs w:val="18"/>
              </w:rPr>
            </w:pPr>
          </w:p>
          <w:p w14:paraId="4565B3D3" w14:textId="304498B3" w:rsidR="00994CF6" w:rsidRPr="00F05FB8" w:rsidRDefault="00994CF6" w:rsidP="00B06FF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05FB8">
              <w:rPr>
                <w:rFonts w:ascii="Arial" w:hAnsi="Arial" w:cs="Arial"/>
                <w:i/>
                <w:iCs/>
                <w:sz w:val="18"/>
                <w:szCs w:val="18"/>
              </w:rPr>
              <w:t>Se recomienda, a todos los gerentes públicos o liquidadores y, por su intermedio, a las oficinas</w:t>
            </w:r>
            <w:r w:rsidR="00EA2C5E" w:rsidRPr="00F05FB8">
              <w:rPr>
                <w:rFonts w:ascii="Arial" w:hAnsi="Arial" w:cs="Arial"/>
                <w:i/>
                <w:iCs/>
                <w:sz w:val="18"/>
                <w:szCs w:val="18"/>
              </w:rPr>
              <w:t xml:space="preserve"> </w:t>
            </w:r>
            <w:r w:rsidRPr="00F05FB8">
              <w:rPr>
                <w:rFonts w:ascii="Arial" w:hAnsi="Arial" w:cs="Arial"/>
                <w:i/>
                <w:iCs/>
                <w:sz w:val="18"/>
                <w:szCs w:val="18"/>
              </w:rPr>
              <w:t>de control interno, realizar un seguimiento permanente al proceso de aplicación del Régimen</w:t>
            </w:r>
            <w:r w:rsidR="00EA2C5E" w:rsidRPr="00F05FB8">
              <w:rPr>
                <w:rFonts w:ascii="Arial" w:hAnsi="Arial" w:cs="Arial"/>
                <w:i/>
                <w:iCs/>
                <w:sz w:val="18"/>
                <w:szCs w:val="18"/>
              </w:rPr>
              <w:t xml:space="preserve"> </w:t>
            </w:r>
            <w:r w:rsidRPr="00F05FB8">
              <w:rPr>
                <w:rFonts w:ascii="Arial" w:hAnsi="Arial" w:cs="Arial"/>
                <w:i/>
                <w:iCs/>
                <w:sz w:val="18"/>
                <w:szCs w:val="18"/>
              </w:rPr>
              <w:t>de Contabilidad Pública y presentar el respectivo informe en las fechas indicadas. Lo anterior en</w:t>
            </w:r>
            <w:r w:rsidR="00EA2C5E" w:rsidRPr="00F05FB8">
              <w:rPr>
                <w:rFonts w:ascii="Arial" w:hAnsi="Arial" w:cs="Arial"/>
                <w:i/>
                <w:iCs/>
                <w:sz w:val="18"/>
                <w:szCs w:val="18"/>
              </w:rPr>
              <w:t xml:space="preserve"> </w:t>
            </w:r>
            <w:r w:rsidRPr="00F05FB8">
              <w:rPr>
                <w:rFonts w:ascii="Arial" w:hAnsi="Arial" w:cs="Arial"/>
                <w:i/>
                <w:iCs/>
                <w:sz w:val="18"/>
                <w:szCs w:val="18"/>
              </w:rPr>
              <w:t xml:space="preserve">cumplimiento de lo señalado en </w:t>
            </w:r>
            <w:r w:rsidRPr="00F05FB8">
              <w:rPr>
                <w:rFonts w:ascii="Arial" w:hAnsi="Arial" w:cs="Arial"/>
                <w:i/>
                <w:iCs/>
                <w:sz w:val="18"/>
                <w:szCs w:val="18"/>
              </w:rPr>
              <w:lastRenderedPageBreak/>
              <w:t>la Resolución 193 de 2016 sobre el tema de control interno</w:t>
            </w:r>
            <w:r w:rsidR="00EA2C5E" w:rsidRPr="00F05FB8">
              <w:rPr>
                <w:rFonts w:ascii="Arial" w:hAnsi="Arial" w:cs="Arial"/>
                <w:i/>
                <w:iCs/>
                <w:sz w:val="18"/>
                <w:szCs w:val="18"/>
              </w:rPr>
              <w:t xml:space="preserve"> </w:t>
            </w:r>
            <w:r w:rsidRPr="00F05FB8">
              <w:rPr>
                <w:rFonts w:ascii="Arial" w:hAnsi="Arial" w:cs="Arial"/>
                <w:i/>
                <w:iCs/>
                <w:sz w:val="18"/>
                <w:szCs w:val="18"/>
              </w:rPr>
              <w:t>contable.</w:t>
            </w:r>
            <w:r w:rsidR="00EA2C5E" w:rsidRPr="00F05FB8">
              <w:rPr>
                <w:rFonts w:ascii="Arial" w:hAnsi="Arial" w:cs="Arial"/>
                <w:sz w:val="18"/>
                <w:szCs w:val="18"/>
              </w:rPr>
              <w:t xml:space="preserve"> (…)”.</w:t>
            </w:r>
          </w:p>
        </w:tc>
      </w:tr>
      <w:tr w:rsidR="000175AF" w:rsidRPr="00F05FB8" w14:paraId="4565B3E2" w14:textId="77777777" w:rsidTr="00AC7586">
        <w:trPr>
          <w:trHeight w:val="772"/>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right w:val="dotted" w:sz="4" w:space="0" w:color="auto"/>
            </w:tcBorders>
            <w:vAlign w:val="center"/>
          </w:tcPr>
          <w:p w14:paraId="35F32D22" w14:textId="77777777" w:rsidR="000175AF" w:rsidRPr="00F05FB8" w:rsidRDefault="000175AF" w:rsidP="00B06FF1">
            <w:pPr>
              <w:autoSpaceDE w:val="0"/>
              <w:autoSpaceDN w:val="0"/>
              <w:adjustRightInd w:val="0"/>
              <w:jc w:val="both"/>
              <w:rPr>
                <w:rFonts w:ascii="Arial" w:hAnsi="Arial" w:cs="Arial"/>
                <w:sz w:val="18"/>
                <w:szCs w:val="18"/>
              </w:rPr>
            </w:pPr>
          </w:p>
        </w:tc>
        <w:tc>
          <w:tcPr>
            <w:tcW w:w="1423" w:type="dxa"/>
            <w:tcBorders>
              <w:top w:val="dotted" w:sz="4" w:space="0" w:color="auto"/>
              <w:left w:val="dotted" w:sz="4" w:space="0" w:color="auto"/>
              <w:bottom w:val="dotted" w:sz="4" w:space="0" w:color="auto"/>
              <w:right w:val="dotted" w:sz="4" w:space="0" w:color="auto"/>
            </w:tcBorders>
            <w:vAlign w:val="center"/>
          </w:tcPr>
          <w:p w14:paraId="4565B3D5" w14:textId="03AD4CC7" w:rsidR="000175AF" w:rsidRPr="00F05FB8" w:rsidRDefault="000175A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Reporte al Sistema de Alertas de Control Interno (SACI) de la Contraloría General de la República</w:t>
            </w:r>
          </w:p>
        </w:tc>
        <w:tc>
          <w:tcPr>
            <w:tcW w:w="2821" w:type="dxa"/>
            <w:tcBorders>
              <w:top w:val="dotted" w:sz="4" w:space="0" w:color="auto"/>
              <w:left w:val="dotted" w:sz="4" w:space="0" w:color="auto"/>
              <w:bottom w:val="dotted" w:sz="4" w:space="0" w:color="auto"/>
              <w:right w:val="dotted" w:sz="4" w:space="0" w:color="auto"/>
            </w:tcBorders>
            <w:vAlign w:val="center"/>
          </w:tcPr>
          <w:p w14:paraId="2A671FAC" w14:textId="260CAAD0" w:rsidR="000175AF" w:rsidRPr="004A4E40" w:rsidRDefault="000175A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50" w:history="1">
              <w:r w:rsidRPr="004A4E40">
                <w:rPr>
                  <w:rStyle w:val="Hipervnculo"/>
                  <w:rFonts w:ascii="Arial" w:hAnsi="Arial" w:cs="Arial"/>
                  <w:sz w:val="18"/>
                  <w:szCs w:val="18"/>
                </w:rPr>
                <w:t>Acto Legislativo 04 de 2019 “Por medio del cual se reforma el Régimen de Control Fiscal”</w:t>
              </w:r>
            </w:hyperlink>
          </w:p>
          <w:p w14:paraId="5136D7DC" w14:textId="77777777" w:rsidR="000175AF" w:rsidRPr="004A4E40" w:rsidRDefault="000175A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003EC9D" w14:textId="0CA6BD08" w:rsidR="000175AF" w:rsidRPr="004A4E40" w:rsidRDefault="000175A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51" w:history="1">
              <w:r w:rsidRPr="004A4E40">
                <w:rPr>
                  <w:rStyle w:val="Hipervnculo"/>
                  <w:rFonts w:ascii="Arial" w:hAnsi="Arial" w:cs="Arial"/>
                  <w:sz w:val="18"/>
                  <w:szCs w:val="18"/>
                </w:rPr>
                <w:t>Decreto 403 del 16 de marzo de 2020 “Por el cual se dictan normas para la correcta implementación del Acto Legislativo 04 de 2019 y el fortalecimiento del control fiscal” (Art. 62)</w:t>
              </w:r>
            </w:hyperlink>
          </w:p>
          <w:p w14:paraId="719906C5" w14:textId="77777777" w:rsidR="000175AF" w:rsidRPr="004A4E40" w:rsidRDefault="000175A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16A59533" w14:textId="6694E6B4" w:rsidR="000175AF" w:rsidRPr="004A4E40" w:rsidRDefault="000175A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Style w:val="Hipervnculo"/>
                <w:rFonts w:ascii="Arial" w:hAnsi="Arial" w:cs="Arial"/>
                <w:sz w:val="18"/>
                <w:szCs w:val="18"/>
              </w:rPr>
            </w:pPr>
            <w:r w:rsidRPr="004A4E40">
              <w:rPr>
                <w:rFonts w:ascii="Arial" w:hAnsi="Arial" w:cs="Arial"/>
                <w:sz w:val="18"/>
                <w:szCs w:val="18"/>
              </w:rPr>
              <w:fldChar w:fldCharType="begin"/>
            </w:r>
            <w:r w:rsidRPr="004A4E40">
              <w:rPr>
                <w:rFonts w:ascii="Arial" w:hAnsi="Arial" w:cs="Arial"/>
                <w:sz w:val="18"/>
                <w:szCs w:val="18"/>
              </w:rPr>
              <w:instrText xml:space="preserve"> HYPERLINK "https://relatoria.blob.core.windows.net/$web/files/resoluciones/OGZ-0762-2020.pdf" </w:instrText>
            </w:r>
            <w:r w:rsidRPr="004A4E40">
              <w:rPr>
                <w:rFonts w:ascii="Arial" w:hAnsi="Arial" w:cs="Arial"/>
                <w:sz w:val="18"/>
                <w:szCs w:val="18"/>
              </w:rPr>
            </w:r>
            <w:r w:rsidRPr="004A4E40">
              <w:rPr>
                <w:rFonts w:ascii="Arial" w:hAnsi="Arial" w:cs="Arial"/>
                <w:sz w:val="18"/>
                <w:szCs w:val="18"/>
              </w:rPr>
              <w:fldChar w:fldCharType="separate"/>
            </w:r>
            <w:r w:rsidRPr="004A4E40">
              <w:rPr>
                <w:rStyle w:val="Hipervnculo"/>
                <w:rFonts w:ascii="Arial" w:hAnsi="Arial" w:cs="Arial"/>
                <w:sz w:val="18"/>
                <w:szCs w:val="18"/>
              </w:rPr>
              <w:t>Resolución Orgánica No. 0762 de 2020 “Por la cual se desarrollan las condiciones y la metodología general para el seguimiento permanente a los</w:t>
            </w:r>
          </w:p>
          <w:p w14:paraId="3026DAB7" w14:textId="77777777" w:rsidR="000175AF" w:rsidRPr="004A4E40" w:rsidRDefault="000175A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4A4E40">
              <w:rPr>
                <w:rStyle w:val="Hipervnculo"/>
                <w:rFonts w:ascii="Arial" w:hAnsi="Arial" w:cs="Arial"/>
                <w:sz w:val="18"/>
                <w:szCs w:val="18"/>
              </w:rPr>
              <w:t>recursos públicos y el ejercicio de la vigilancia y control fiscal concomitante y preventivo de la Contraloría General de la República”</w:t>
            </w:r>
            <w:r w:rsidRPr="004A4E40">
              <w:rPr>
                <w:rFonts w:ascii="Arial" w:hAnsi="Arial" w:cs="Arial"/>
                <w:sz w:val="18"/>
                <w:szCs w:val="18"/>
              </w:rPr>
              <w:fldChar w:fldCharType="end"/>
            </w:r>
          </w:p>
          <w:p w14:paraId="12DA3E45" w14:textId="77777777" w:rsidR="006D0810" w:rsidRPr="004A4E40" w:rsidRDefault="006D0810"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103EF217" w14:textId="77777777" w:rsidR="006D0810" w:rsidRPr="004A4E40" w:rsidRDefault="006D0810"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565B3D8" w14:textId="6120B51E" w:rsidR="006D0810" w:rsidRPr="004A4E40" w:rsidRDefault="00A66A82"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52" w:history="1">
              <w:r w:rsidRPr="004A4E40">
                <w:rPr>
                  <w:rStyle w:val="Hipervnculo"/>
                  <w:rFonts w:ascii="Arial" w:hAnsi="Arial" w:cs="Arial"/>
                  <w:sz w:val="18"/>
                  <w:szCs w:val="18"/>
                </w:rPr>
                <w:t>Resolución Reglamentaria Orgánica 0062 de 2023</w:t>
              </w:r>
            </w:hyperlink>
          </w:p>
        </w:tc>
        <w:tc>
          <w:tcPr>
            <w:tcW w:w="5476" w:type="dxa"/>
            <w:gridSpan w:val="2"/>
            <w:tcBorders>
              <w:top w:val="dotted" w:sz="4" w:space="0" w:color="auto"/>
              <w:left w:val="dotted" w:sz="4" w:space="0" w:color="auto"/>
              <w:bottom w:val="dotted" w:sz="4" w:space="0" w:color="auto"/>
              <w:right w:val="dotted" w:sz="4" w:space="0" w:color="auto"/>
            </w:tcBorders>
            <w:vAlign w:val="center"/>
          </w:tcPr>
          <w:p w14:paraId="58B78EB4" w14:textId="77777777" w:rsidR="000175AF" w:rsidRPr="00F05FB8" w:rsidRDefault="000175AF" w:rsidP="000175A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F05FB8">
              <w:rPr>
                <w:rFonts w:ascii="Arial" w:hAnsi="Arial" w:cs="Arial"/>
                <w:b/>
                <w:sz w:val="18"/>
                <w:szCs w:val="18"/>
              </w:rPr>
              <w:t>De acuerdo a auditorías internas u otros seguimientos programados</w:t>
            </w:r>
          </w:p>
          <w:p w14:paraId="07B56439" w14:textId="77777777" w:rsidR="000175AF" w:rsidRPr="00F05FB8" w:rsidRDefault="000175AF" w:rsidP="000175A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p w14:paraId="2DD9E606" w14:textId="3433EE56" w:rsidR="000175AF" w:rsidRPr="00F05FB8" w:rsidRDefault="000175AF" w:rsidP="000175A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b/>
                <w:sz w:val="18"/>
                <w:szCs w:val="18"/>
              </w:rPr>
              <w:t>Solamente en caso de evidenciarse</w:t>
            </w:r>
          </w:p>
        </w:tc>
        <w:tc>
          <w:tcPr>
            <w:tcW w:w="1620" w:type="dxa"/>
            <w:tcBorders>
              <w:top w:val="dotted" w:sz="4" w:space="0" w:color="auto"/>
              <w:left w:val="dotted" w:sz="4" w:space="0" w:color="auto"/>
              <w:bottom w:val="dotted" w:sz="4" w:space="0" w:color="auto"/>
              <w:right w:val="dotted" w:sz="4" w:space="0" w:color="auto"/>
            </w:tcBorders>
            <w:vAlign w:val="center"/>
          </w:tcPr>
          <w:p w14:paraId="4565B3DA" w14:textId="5D5443EC" w:rsidR="000175AF" w:rsidRPr="00F05FB8" w:rsidRDefault="000175A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Contraloría General de la República</w:t>
            </w:r>
          </w:p>
        </w:tc>
        <w:tc>
          <w:tcPr>
            <w:tcW w:w="5400" w:type="dxa"/>
            <w:tcBorders>
              <w:top w:val="dotted" w:sz="4" w:space="0" w:color="auto"/>
              <w:left w:val="dotted" w:sz="4" w:space="0" w:color="auto"/>
              <w:bottom w:val="dotted" w:sz="4" w:space="0" w:color="auto"/>
              <w:right w:val="dotted" w:sz="4" w:space="0" w:color="auto"/>
            </w:tcBorders>
            <w:vAlign w:val="center"/>
          </w:tcPr>
          <w:p w14:paraId="04BEAA60" w14:textId="77777777" w:rsidR="000175AF" w:rsidRPr="00F05FB8" w:rsidRDefault="000175A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El Sistema de Alertas de Control Interno (SACI), es una herramienta en la cual los jefes de control interno, o quienes hagan sus veces, deberán reportar aquellos hechos u operaciones, actos, contratos, programas, proyectos o procesos en ejecución, en donde, en el ejercicio de sus funciones, evidencien un riesgo de afectación o pérdida de los recursos públicos y/o de bienes o intereses patrimoniales de naturaleza pública.</w:t>
            </w:r>
          </w:p>
          <w:p w14:paraId="219ADF19" w14:textId="77777777" w:rsidR="000175AF" w:rsidRPr="00F05FB8" w:rsidRDefault="000175A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D6D7ABA" w14:textId="77777777" w:rsidR="000175AF" w:rsidRPr="00F05FB8" w:rsidRDefault="000175A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El reporte en el Sistema de Alertas de Control Interno (SACI) contendrá como mínimo:</w:t>
            </w:r>
          </w:p>
          <w:p w14:paraId="29AC9286" w14:textId="77777777" w:rsidR="000175AF" w:rsidRPr="00F05FB8" w:rsidRDefault="000175AF" w:rsidP="00B06FF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7C0A17B2" w14:textId="77777777" w:rsidR="000175AF" w:rsidRPr="00F05FB8" w:rsidRDefault="000175AF" w:rsidP="00B06FF1">
            <w:pPr>
              <w:pStyle w:val="Prrafodelista"/>
              <w:numPr>
                <w:ilvl w:val="0"/>
                <w:numId w:val="1"/>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Descripción del objeto de control.</w:t>
            </w:r>
          </w:p>
          <w:p w14:paraId="2A3BF79C" w14:textId="77777777" w:rsidR="000175AF" w:rsidRPr="00F05FB8" w:rsidRDefault="000175AF" w:rsidP="00B06FF1">
            <w:pPr>
              <w:pStyle w:val="Prrafodelista"/>
              <w:numPr>
                <w:ilvl w:val="0"/>
                <w:numId w:val="1"/>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Fuente y monto de los recursos públicos.</w:t>
            </w:r>
          </w:p>
          <w:p w14:paraId="5996DD88" w14:textId="77777777" w:rsidR="000175AF" w:rsidRPr="00F05FB8" w:rsidRDefault="000175AF" w:rsidP="00B06FF1">
            <w:pPr>
              <w:pStyle w:val="Prrafodelista"/>
              <w:numPr>
                <w:ilvl w:val="0"/>
                <w:numId w:val="1"/>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Informe sucinto del riesgo reportado y sus fundamentos fácticos y jurídicos.</w:t>
            </w:r>
          </w:p>
          <w:p w14:paraId="2B95DD2F" w14:textId="77777777" w:rsidR="000175AF" w:rsidRPr="00F05FB8" w:rsidRDefault="000175AF" w:rsidP="00B06FF1">
            <w:pPr>
              <w:pStyle w:val="Prrafodelista"/>
              <w:numPr>
                <w:ilvl w:val="0"/>
                <w:numId w:val="1"/>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Acciones adelantadas por la dependencia de Control Interno correspondiente.</w:t>
            </w:r>
          </w:p>
          <w:p w14:paraId="4565B3E1" w14:textId="0DF14A35" w:rsidR="000175AF" w:rsidRPr="00F05FB8" w:rsidRDefault="000175AF" w:rsidP="00B06FF1">
            <w:pPr>
              <w:pStyle w:val="Prrafodelista"/>
              <w:numPr>
                <w:ilvl w:val="0"/>
                <w:numId w:val="1"/>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05FB8">
              <w:rPr>
                <w:rFonts w:ascii="Arial" w:hAnsi="Arial" w:cs="Arial"/>
                <w:sz w:val="18"/>
                <w:szCs w:val="18"/>
              </w:rPr>
              <w:t>Anexos y soportes relacionados.</w:t>
            </w:r>
          </w:p>
        </w:tc>
      </w:tr>
    </w:tbl>
    <w:p w14:paraId="4565B420" w14:textId="77777777" w:rsidR="004A4E40" w:rsidRDefault="004A4E40"/>
    <w:p w14:paraId="03E048B7" w14:textId="59B0DEB6" w:rsidR="009F075E" w:rsidRPr="00116261" w:rsidRDefault="009F075E" w:rsidP="00330CD8">
      <w:pPr>
        <w:jc w:val="both"/>
        <w:rPr>
          <w:rFonts w:ascii="Arial Narrow" w:hAnsi="Arial Narrow"/>
        </w:rPr>
      </w:pPr>
      <w:r w:rsidRPr="007404CA">
        <w:rPr>
          <w:rFonts w:ascii="Arial Narrow" w:hAnsi="Arial Narrow"/>
          <w:b/>
          <w:bCs/>
          <w:color w:val="C45911" w:themeColor="accent2" w:themeShade="BF"/>
          <w:u w:val="single"/>
        </w:rPr>
        <w:t>NOTA:</w:t>
      </w:r>
      <w:r w:rsidRPr="007404CA">
        <w:rPr>
          <w:rFonts w:ascii="Arial Narrow" w:hAnsi="Arial Narrow"/>
          <w:color w:val="C45911" w:themeColor="accent2" w:themeShade="BF"/>
        </w:rPr>
        <w:t xml:space="preserve"> </w:t>
      </w:r>
      <w:r w:rsidRPr="00116261">
        <w:rPr>
          <w:rFonts w:ascii="Arial Narrow" w:hAnsi="Arial Narrow"/>
        </w:rPr>
        <w:t xml:space="preserve">Los informes o reportes aquí relacionados </w:t>
      </w:r>
      <w:r w:rsidR="00AD2F40" w:rsidRPr="00116261">
        <w:rPr>
          <w:rFonts w:ascii="Arial Narrow" w:hAnsi="Arial Narrow"/>
        </w:rPr>
        <w:t xml:space="preserve">constituyen una orientación general para </w:t>
      </w:r>
      <w:r w:rsidR="00F77A9A" w:rsidRPr="00116261">
        <w:rPr>
          <w:rFonts w:ascii="Arial Narrow" w:hAnsi="Arial Narrow"/>
        </w:rPr>
        <w:t>el jefe, asesor, coordinador, auditor o quien haga sus veces</w:t>
      </w:r>
      <w:r w:rsidR="00493B6E" w:rsidRPr="00116261">
        <w:rPr>
          <w:rFonts w:ascii="Arial Narrow" w:hAnsi="Arial Narrow"/>
        </w:rPr>
        <w:t xml:space="preserve"> con el objetivo de evitar posibles</w:t>
      </w:r>
      <w:r w:rsidR="003C3F2B" w:rsidRPr="00116261">
        <w:rPr>
          <w:rFonts w:ascii="Arial Narrow" w:hAnsi="Arial Narrow"/>
        </w:rPr>
        <w:t xml:space="preserve"> </w:t>
      </w:r>
      <w:r w:rsidR="00493B6E" w:rsidRPr="00116261">
        <w:rPr>
          <w:rFonts w:ascii="Arial Narrow" w:hAnsi="Arial Narrow"/>
        </w:rPr>
        <w:t>incumplimientos; no obstante, es responsabilidad exclusiva de cada entidad</w:t>
      </w:r>
      <w:r w:rsidR="003C3F2B" w:rsidRPr="00116261">
        <w:rPr>
          <w:rFonts w:ascii="Arial Narrow" w:hAnsi="Arial Narrow"/>
        </w:rPr>
        <w:t xml:space="preserve"> efectuar un análisis detallado respecto de la aplicabilidad </w:t>
      </w:r>
      <w:r w:rsidR="00663F16" w:rsidRPr="00116261">
        <w:rPr>
          <w:rFonts w:ascii="Arial Narrow" w:hAnsi="Arial Narrow"/>
        </w:rPr>
        <w:t>de estos informes o reportes</w:t>
      </w:r>
      <w:r w:rsidR="00330CD8" w:rsidRPr="00116261">
        <w:rPr>
          <w:rFonts w:ascii="Arial Narrow" w:hAnsi="Arial Narrow"/>
        </w:rPr>
        <w:t xml:space="preserve"> así </w:t>
      </w:r>
      <w:r w:rsidR="00663F16" w:rsidRPr="00116261">
        <w:rPr>
          <w:rFonts w:ascii="Arial Narrow" w:hAnsi="Arial Narrow"/>
        </w:rPr>
        <w:t xml:space="preserve"> </w:t>
      </w:r>
      <w:r w:rsidR="00330CD8" w:rsidRPr="00116261">
        <w:rPr>
          <w:rFonts w:ascii="Arial Narrow" w:hAnsi="Arial Narrow"/>
        </w:rPr>
        <w:t>com</w:t>
      </w:r>
      <w:r w:rsidR="00663F16" w:rsidRPr="00116261">
        <w:rPr>
          <w:rFonts w:ascii="Arial Narrow" w:hAnsi="Arial Narrow"/>
        </w:rPr>
        <w:t xml:space="preserve">o </w:t>
      </w:r>
      <w:r w:rsidR="006D4B0D" w:rsidRPr="00116261">
        <w:rPr>
          <w:rFonts w:ascii="Arial Narrow" w:hAnsi="Arial Narrow"/>
        </w:rPr>
        <w:t>identificar otros que puedan requerir entidades, organismos o entes de control territoriales</w:t>
      </w:r>
      <w:r w:rsidR="00330CD8" w:rsidRPr="00116261">
        <w:rPr>
          <w:rFonts w:ascii="Arial Narrow" w:hAnsi="Arial Narrow"/>
        </w:rPr>
        <w:t>, para lo cual se debe</w:t>
      </w:r>
      <w:r w:rsidR="00116261">
        <w:rPr>
          <w:rFonts w:ascii="Arial Narrow" w:hAnsi="Arial Narrow"/>
        </w:rPr>
        <w:t>n</w:t>
      </w:r>
      <w:r w:rsidR="00330CD8" w:rsidRPr="00116261">
        <w:rPr>
          <w:rFonts w:ascii="Arial Narrow" w:hAnsi="Arial Narrow"/>
        </w:rPr>
        <w:t xml:space="preserve"> partir de la naturaleza jurídica de cada entidad y su marco normativo aplicable</w:t>
      </w:r>
      <w:r w:rsidR="00116261">
        <w:rPr>
          <w:rFonts w:ascii="Arial Narrow" w:hAnsi="Arial Narrow"/>
        </w:rPr>
        <w:t>, información que se sustenta a través del normograma correspondiente</w:t>
      </w:r>
      <w:r w:rsidR="00330CD8" w:rsidRPr="00116261">
        <w:rPr>
          <w:rFonts w:ascii="Arial Narrow" w:hAnsi="Arial Narrow"/>
        </w:rPr>
        <w:t>.</w:t>
      </w:r>
    </w:p>
    <w:sectPr w:rsidR="009F075E" w:rsidRPr="00116261" w:rsidSect="00273C78">
      <w:headerReference w:type="default" r:id="rId53"/>
      <w:footerReference w:type="default" r:id="rId54"/>
      <w:pgSz w:w="20160" w:h="12240" w:orient="landscape" w:code="5"/>
      <w:pgMar w:top="720" w:right="720" w:bottom="720" w:left="720" w:header="708"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536FF" w14:textId="77777777" w:rsidR="00ED0BF5" w:rsidRDefault="00ED0BF5" w:rsidP="00B622FE">
      <w:r>
        <w:separator/>
      </w:r>
    </w:p>
  </w:endnote>
  <w:endnote w:type="continuationSeparator" w:id="0">
    <w:p w14:paraId="46834BE9" w14:textId="77777777" w:rsidR="00ED0BF5" w:rsidRDefault="00ED0BF5" w:rsidP="00B62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1B6DC" w14:textId="0F0404C8" w:rsidR="00873B3A" w:rsidRDefault="00873B3A" w:rsidP="005A3EC1">
    <w:pPr>
      <w:pStyle w:val="Piedepgina"/>
      <w:tabs>
        <w:tab w:val="center" w:pos="2127"/>
      </w:tabs>
      <w:rPr>
        <w:rFonts w:ascii="Arial Narrow" w:hAnsi="Arial Narrow"/>
        <w:sz w:val="14"/>
        <w:szCs w:val="14"/>
        <w:lang w:val="es-ES_tradnl"/>
      </w:rPr>
    </w:pPr>
  </w:p>
  <w:p w14:paraId="138DC46F" w14:textId="6D838C8E" w:rsidR="005A3EC1" w:rsidRDefault="005A3EC1" w:rsidP="005A3EC1">
    <w:pPr>
      <w:pStyle w:val="Piedepgina"/>
      <w:tabs>
        <w:tab w:val="center" w:pos="2127"/>
      </w:tabs>
      <w:rPr>
        <w:rFonts w:ascii="Arial Narrow" w:hAnsi="Arial Narrow"/>
        <w:sz w:val="14"/>
        <w:szCs w:val="14"/>
        <w:lang w:val="es-ES_tradnl"/>
      </w:rPr>
    </w:pPr>
    <w:r w:rsidRPr="00A82505">
      <w:rPr>
        <w:rFonts w:ascii="Arial Narrow" w:hAnsi="Arial Narrow"/>
        <w:sz w:val="14"/>
        <w:szCs w:val="14"/>
        <w:lang w:val="es-ES_tradnl"/>
      </w:rPr>
      <w:t>Carrera 6 No. 12-62</w:t>
    </w:r>
    <w:r>
      <w:rPr>
        <w:rFonts w:ascii="Arial Narrow" w:hAnsi="Arial Narrow"/>
        <w:sz w:val="14"/>
        <w:szCs w:val="14"/>
        <w:lang w:val="es-ES_tradnl"/>
      </w:rPr>
      <w:t xml:space="preserve">, </w:t>
    </w:r>
    <w:r w:rsidRPr="00A82505">
      <w:rPr>
        <w:rFonts w:ascii="Arial Narrow" w:hAnsi="Arial Narrow"/>
        <w:sz w:val="14"/>
        <w:szCs w:val="14"/>
        <w:lang w:val="es-ES_tradnl"/>
      </w:rPr>
      <w:t>Bogotá</w:t>
    </w:r>
    <w:r>
      <w:rPr>
        <w:rFonts w:ascii="Arial Narrow" w:hAnsi="Arial Narrow"/>
        <w:sz w:val="14"/>
        <w:szCs w:val="14"/>
        <w:lang w:val="es-ES_tradnl"/>
      </w:rPr>
      <w:t>,</w:t>
    </w:r>
    <w:r w:rsidRPr="00A82505">
      <w:rPr>
        <w:rFonts w:ascii="Arial Narrow" w:hAnsi="Arial Narrow"/>
        <w:sz w:val="14"/>
        <w:szCs w:val="14"/>
        <w:lang w:val="es-ES_tradnl"/>
      </w:rPr>
      <w:t xml:space="preserve"> D.C</w:t>
    </w:r>
    <w:r>
      <w:rPr>
        <w:rFonts w:ascii="Arial Narrow" w:hAnsi="Arial Narrow"/>
        <w:sz w:val="14"/>
        <w:szCs w:val="14"/>
        <w:lang w:val="es-ES_tradnl"/>
      </w:rPr>
      <w:t>.</w:t>
    </w:r>
    <w:r w:rsidRPr="00A82505">
      <w:rPr>
        <w:rFonts w:ascii="Arial Narrow" w:hAnsi="Arial Narrow"/>
        <w:sz w:val="14"/>
        <w:szCs w:val="14"/>
        <w:lang w:val="es-ES_tradnl"/>
      </w:rPr>
      <w:t>, Colombia</w:t>
    </w:r>
    <w:r>
      <w:rPr>
        <w:rFonts w:ascii="Arial Narrow" w:hAnsi="Arial Narrow"/>
        <w:sz w:val="14"/>
        <w:szCs w:val="14"/>
        <w:lang w:val="es-ES_tradnl"/>
      </w:rPr>
      <w:t xml:space="preserve"> ● </w:t>
    </w:r>
    <w:r w:rsidRPr="00A82505">
      <w:rPr>
        <w:rFonts w:ascii="Arial Narrow" w:hAnsi="Arial Narrow"/>
        <w:sz w:val="14"/>
        <w:szCs w:val="14"/>
        <w:lang w:val="es-ES_tradnl"/>
      </w:rPr>
      <w:t>Tel</w:t>
    </w:r>
    <w:r>
      <w:rPr>
        <w:rFonts w:ascii="Arial Narrow" w:hAnsi="Arial Narrow"/>
        <w:sz w:val="14"/>
        <w:szCs w:val="14"/>
        <w:lang w:val="es-ES_tradnl"/>
      </w:rPr>
      <w:t>éfono: 7395656 ● Fax: 7395657 ● L</w:t>
    </w:r>
    <w:r w:rsidRPr="00A82505">
      <w:rPr>
        <w:rFonts w:ascii="Arial Narrow" w:hAnsi="Arial Narrow"/>
        <w:sz w:val="14"/>
        <w:szCs w:val="14"/>
        <w:lang w:val="es-ES_tradnl"/>
      </w:rPr>
      <w:t>ínea gratuita 018000 917 770</w:t>
    </w:r>
  </w:p>
  <w:p w14:paraId="63A6995D" w14:textId="77777777" w:rsidR="005A3EC1" w:rsidRDefault="005A3EC1" w:rsidP="00B524E5">
    <w:pPr>
      <w:pStyle w:val="Piedepgina"/>
      <w:tabs>
        <w:tab w:val="center" w:pos="2127"/>
      </w:tabs>
      <w:rPr>
        <w:rStyle w:val="Hipervnculo"/>
        <w:rFonts w:ascii="Arial Narrow" w:hAnsi="Arial Narrow"/>
        <w:sz w:val="14"/>
        <w:szCs w:val="14"/>
      </w:rPr>
    </w:pPr>
    <w:r w:rsidRPr="007A20DC">
      <w:rPr>
        <w:rFonts w:ascii="Arial Narrow" w:hAnsi="Arial Narrow"/>
        <w:sz w:val="14"/>
        <w:szCs w:val="14"/>
      </w:rPr>
      <w:t>Código Postal:</w:t>
    </w:r>
    <w:r>
      <w:rPr>
        <w:rFonts w:ascii="Arial Narrow" w:hAnsi="Arial Narrow"/>
        <w:sz w:val="14"/>
        <w:szCs w:val="14"/>
      </w:rPr>
      <w:t xml:space="preserve"> 111711.</w:t>
    </w:r>
    <w:r w:rsidRPr="00715266">
      <w:rPr>
        <w:rFonts w:ascii="Arial Narrow" w:hAnsi="Arial Narrow"/>
        <w:sz w:val="14"/>
        <w:szCs w:val="14"/>
      </w:rPr>
      <w:t xml:space="preserve"> </w:t>
    </w:r>
    <w:hyperlink r:id="rId1" w:history="1">
      <w:r w:rsidRPr="00294CE9">
        <w:rPr>
          <w:rStyle w:val="Hipervnculo"/>
          <w:rFonts w:ascii="Arial Narrow" w:hAnsi="Arial Narrow"/>
          <w:sz w:val="14"/>
          <w:szCs w:val="14"/>
        </w:rPr>
        <w:t>www.funcionpublica.gov.co</w:t>
      </w:r>
    </w:hyperlink>
    <w:r w:rsidRPr="00715266">
      <w:rPr>
        <w:rFonts w:ascii="Arial Narrow" w:hAnsi="Arial Narrow"/>
        <w:sz w:val="14"/>
        <w:szCs w:val="14"/>
      </w:rPr>
      <w:t xml:space="preserve"> ●</w:t>
    </w:r>
    <w:r>
      <w:rPr>
        <w:rFonts w:ascii="Arial Narrow" w:hAnsi="Arial Narrow"/>
        <w:sz w:val="14"/>
        <w:szCs w:val="14"/>
      </w:rPr>
      <w:t xml:space="preserve"> </w:t>
    </w:r>
    <w:r w:rsidRPr="00715266">
      <w:rPr>
        <w:rFonts w:ascii="Arial Narrow" w:hAnsi="Arial Narrow"/>
        <w:sz w:val="14"/>
        <w:szCs w:val="14"/>
      </w:rPr>
      <w:t xml:space="preserve"> </w:t>
    </w:r>
    <w:hyperlink r:id="rId2" w:history="1">
      <w:r w:rsidRPr="00294CE9">
        <w:rPr>
          <w:rStyle w:val="Hipervnculo"/>
          <w:rFonts w:ascii="Arial Narrow" w:hAnsi="Arial Narrow"/>
          <w:sz w:val="14"/>
          <w:szCs w:val="14"/>
        </w:rPr>
        <w:t>eva@funcionpublica.gov.co</w:t>
      </w:r>
    </w:hyperlink>
  </w:p>
  <w:p w14:paraId="70961891" w14:textId="6758BFBF" w:rsidR="00B524E5" w:rsidRPr="00B524E5" w:rsidRDefault="00B524E5" w:rsidP="00B524E5">
    <w:pPr>
      <w:pStyle w:val="Piedepgina"/>
      <w:tabs>
        <w:tab w:val="center" w:pos="2127"/>
      </w:tabs>
      <w:jc w:val="right"/>
      <w:rPr>
        <w:rFonts w:ascii="Arial Narrow" w:hAnsi="Arial Narrow"/>
        <w:sz w:val="14"/>
        <w:szCs w:val="14"/>
      </w:rPr>
    </w:pPr>
    <w:r w:rsidRPr="00B524E5">
      <w:rPr>
        <w:rStyle w:val="Hipervnculo"/>
        <w:rFonts w:ascii="Arial Narrow" w:hAnsi="Arial Narrow"/>
        <w:color w:val="auto"/>
        <w:sz w:val="14"/>
        <w:szCs w:val="14"/>
        <w:u w:val="none"/>
      </w:rPr>
      <w:t>Dirección de Gestión y Desempeño Institucional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A78E7" w14:textId="77777777" w:rsidR="00ED0BF5" w:rsidRDefault="00ED0BF5" w:rsidP="00B622FE">
      <w:r>
        <w:separator/>
      </w:r>
    </w:p>
  </w:footnote>
  <w:footnote w:type="continuationSeparator" w:id="0">
    <w:p w14:paraId="00A14370" w14:textId="77777777" w:rsidR="00ED0BF5" w:rsidRDefault="00ED0BF5" w:rsidP="00B622FE">
      <w:r>
        <w:continuationSeparator/>
      </w:r>
    </w:p>
  </w:footnote>
  <w:footnote w:id="1">
    <w:p w14:paraId="3047EA86" w14:textId="6AF452B5" w:rsidR="006F768F" w:rsidRPr="00116261" w:rsidRDefault="006F768F" w:rsidP="00116261">
      <w:pPr>
        <w:pStyle w:val="Textonotapie"/>
        <w:jc w:val="both"/>
        <w:rPr>
          <w:rFonts w:ascii="Arial Narrow" w:hAnsi="Arial Narrow"/>
          <w:sz w:val="16"/>
          <w:szCs w:val="16"/>
          <w:lang w:val="es-ES"/>
        </w:rPr>
      </w:pPr>
      <w:r w:rsidRPr="00116261">
        <w:rPr>
          <w:rStyle w:val="Refdenotaalpie"/>
          <w:rFonts w:ascii="Arial Narrow" w:hAnsi="Arial Narrow"/>
          <w:sz w:val="16"/>
          <w:szCs w:val="16"/>
        </w:rPr>
        <w:footnoteRef/>
      </w:r>
      <w:r w:rsidRPr="00116261">
        <w:rPr>
          <w:rFonts w:ascii="Arial Narrow" w:hAnsi="Arial Narrow"/>
          <w:sz w:val="16"/>
          <w:szCs w:val="16"/>
        </w:rPr>
        <w:t xml:space="preserve"> </w:t>
      </w:r>
      <w:r w:rsidR="00D23240" w:rsidRPr="00116261">
        <w:rPr>
          <w:rFonts w:ascii="Arial Narrow" w:hAnsi="Arial Narrow"/>
          <w:sz w:val="16"/>
          <w:szCs w:val="16"/>
        </w:rPr>
        <w:t xml:space="preserve">Se debe precisar que </w:t>
      </w:r>
      <w:r w:rsidR="00116261" w:rsidRPr="00116261">
        <w:rPr>
          <w:rFonts w:ascii="Arial Narrow" w:hAnsi="Arial Narrow"/>
          <w:sz w:val="16"/>
          <w:szCs w:val="16"/>
        </w:rPr>
        <w:t xml:space="preserve">conforme </w:t>
      </w:r>
      <w:r w:rsidR="0083587D" w:rsidRPr="00116261">
        <w:rPr>
          <w:rFonts w:ascii="Arial Narrow" w:hAnsi="Arial Narrow"/>
          <w:sz w:val="16"/>
          <w:szCs w:val="16"/>
          <w:lang w:val="es-ES"/>
        </w:rPr>
        <w:t xml:space="preserve">lo </w:t>
      </w:r>
      <w:r w:rsidR="00D23240" w:rsidRPr="00116261">
        <w:rPr>
          <w:rFonts w:ascii="Arial Narrow" w:hAnsi="Arial Narrow"/>
          <w:sz w:val="16"/>
          <w:szCs w:val="16"/>
          <w:lang w:val="es-ES"/>
        </w:rPr>
        <w:t>estipulado en el Decreto 1083 de 2015, Artículo 2.2.21.4.7, Parágrafo 1° (modificado mediante el Artículo 1 del Decreto 338 de 2019)</w:t>
      </w:r>
      <w:r w:rsidR="0084206C" w:rsidRPr="00116261">
        <w:rPr>
          <w:rFonts w:ascii="Arial Narrow" w:hAnsi="Arial Narrow"/>
          <w:sz w:val="16"/>
          <w:szCs w:val="16"/>
          <w:lang w:val="es-ES"/>
        </w:rPr>
        <w:t>,</w:t>
      </w:r>
      <w:r w:rsidR="00D23240" w:rsidRPr="00116261">
        <w:rPr>
          <w:rFonts w:ascii="Arial Narrow" w:hAnsi="Arial Narrow"/>
          <w:sz w:val="16"/>
          <w:szCs w:val="16"/>
          <w:lang w:val="es-ES"/>
        </w:rPr>
        <w:t xml:space="preserve"> “</w:t>
      </w:r>
      <w:r w:rsidR="00D23240" w:rsidRPr="00116261">
        <w:rPr>
          <w:rFonts w:ascii="Arial Narrow" w:hAnsi="Arial Narrow"/>
          <w:i/>
          <w:iCs/>
          <w:sz w:val="16"/>
          <w:szCs w:val="16"/>
          <w:lang w:val="es-ES"/>
        </w:rPr>
        <w:t xml:space="preserve">Los informes de </w:t>
      </w:r>
      <w:r w:rsidR="0084206C" w:rsidRPr="00116261">
        <w:rPr>
          <w:rFonts w:ascii="Arial Narrow" w:hAnsi="Arial Narrow"/>
          <w:i/>
          <w:iCs/>
          <w:sz w:val="16"/>
          <w:szCs w:val="16"/>
          <w:lang w:val="es-ES"/>
        </w:rPr>
        <w:t>auditoría</w:t>
      </w:r>
      <w:r w:rsidR="00D23240" w:rsidRPr="00116261">
        <w:rPr>
          <w:rFonts w:ascii="Arial Narrow" w:hAnsi="Arial Narrow"/>
          <w:i/>
          <w:iCs/>
          <w:sz w:val="16"/>
          <w:szCs w:val="16"/>
          <w:lang w:val="es-ES"/>
        </w:rPr>
        <w:t xml:space="preserve">, seguimientos y evaluaciones [emitidos por la Oficina de Control Interno] </w:t>
      </w:r>
      <w:r w:rsidR="0084206C" w:rsidRPr="00116261">
        <w:rPr>
          <w:rFonts w:ascii="Arial Narrow" w:hAnsi="Arial Narrow"/>
          <w:i/>
          <w:iCs/>
          <w:sz w:val="16"/>
          <w:szCs w:val="16"/>
          <w:lang w:val="es-ES"/>
        </w:rPr>
        <w:t>tendrán</w:t>
      </w:r>
      <w:r w:rsidR="00D23240" w:rsidRPr="00116261">
        <w:rPr>
          <w:rFonts w:ascii="Arial Narrow" w:hAnsi="Arial Narrow"/>
          <w:i/>
          <w:iCs/>
          <w:sz w:val="16"/>
          <w:szCs w:val="16"/>
          <w:lang w:val="es-ES"/>
        </w:rPr>
        <w:t xml:space="preserve"> como destinatario principal el representante legal de la Entidad y el </w:t>
      </w:r>
      <w:r w:rsidR="0084206C" w:rsidRPr="00116261">
        <w:rPr>
          <w:rFonts w:ascii="Arial Narrow" w:hAnsi="Arial Narrow"/>
          <w:i/>
          <w:iCs/>
          <w:sz w:val="16"/>
          <w:szCs w:val="16"/>
          <w:lang w:val="es-ES"/>
        </w:rPr>
        <w:t>Comité</w:t>
      </w:r>
      <w:r w:rsidR="00D23240" w:rsidRPr="00116261">
        <w:rPr>
          <w:rFonts w:ascii="Arial Narrow" w:hAnsi="Arial Narrow"/>
          <w:i/>
          <w:iCs/>
          <w:sz w:val="16"/>
          <w:szCs w:val="16"/>
          <w:lang w:val="es-ES"/>
        </w:rPr>
        <w:t xml:space="preserve"> Institucional de </w:t>
      </w:r>
      <w:r w:rsidR="0084206C" w:rsidRPr="00116261">
        <w:rPr>
          <w:rFonts w:ascii="Arial Narrow" w:hAnsi="Arial Narrow"/>
          <w:i/>
          <w:iCs/>
          <w:sz w:val="16"/>
          <w:szCs w:val="16"/>
          <w:lang w:val="es-ES"/>
        </w:rPr>
        <w:t>Coordinación</w:t>
      </w:r>
      <w:r w:rsidR="00D23240" w:rsidRPr="00116261">
        <w:rPr>
          <w:rFonts w:ascii="Arial Narrow" w:hAnsi="Arial Narrow"/>
          <w:i/>
          <w:iCs/>
          <w:sz w:val="16"/>
          <w:szCs w:val="16"/>
          <w:lang w:val="es-ES"/>
        </w:rPr>
        <w:t xml:space="preserve"> de Control Interno y/o </w:t>
      </w:r>
      <w:r w:rsidR="0084206C" w:rsidRPr="00116261">
        <w:rPr>
          <w:rFonts w:ascii="Arial Narrow" w:hAnsi="Arial Narrow"/>
          <w:i/>
          <w:iCs/>
          <w:sz w:val="16"/>
          <w:szCs w:val="16"/>
          <w:lang w:val="es-ES"/>
        </w:rPr>
        <w:t>Comité</w:t>
      </w:r>
      <w:r w:rsidR="00D23240" w:rsidRPr="00116261">
        <w:rPr>
          <w:rFonts w:ascii="Arial Narrow" w:hAnsi="Arial Narrow"/>
          <w:i/>
          <w:iCs/>
          <w:sz w:val="16"/>
          <w:szCs w:val="16"/>
          <w:lang w:val="es-ES"/>
        </w:rPr>
        <w:t xml:space="preserve"> de </w:t>
      </w:r>
      <w:r w:rsidR="0084206C" w:rsidRPr="00116261">
        <w:rPr>
          <w:rFonts w:ascii="Arial Narrow" w:hAnsi="Arial Narrow"/>
          <w:i/>
          <w:iCs/>
          <w:sz w:val="16"/>
          <w:szCs w:val="16"/>
          <w:lang w:val="es-ES"/>
        </w:rPr>
        <w:t>Auditoria</w:t>
      </w:r>
      <w:r w:rsidR="00D23240" w:rsidRPr="00116261">
        <w:rPr>
          <w:rFonts w:ascii="Arial Narrow" w:hAnsi="Arial Narrow"/>
          <w:i/>
          <w:iCs/>
          <w:sz w:val="16"/>
          <w:szCs w:val="16"/>
          <w:lang w:val="es-ES"/>
        </w:rPr>
        <w:t xml:space="preserve"> y/o Junta Directiva</w:t>
      </w:r>
      <w:r w:rsidR="00D23240" w:rsidRPr="00116261">
        <w:rPr>
          <w:rFonts w:ascii="Arial Narrow" w:hAnsi="Arial Narrow"/>
          <w:sz w:val="16"/>
          <w:szCs w:val="16"/>
          <w:lang w:val="es-ES"/>
        </w:rPr>
        <w:t xml:space="preserve"> (...)”</w:t>
      </w:r>
      <w:r w:rsidR="0084206C" w:rsidRPr="00116261">
        <w:rPr>
          <w:rFonts w:ascii="Arial Narrow" w:hAnsi="Arial Narrow"/>
          <w:sz w:val="16"/>
          <w:szCs w:val="16"/>
          <w:lang w:val="es-ES"/>
        </w:rPr>
        <w:t xml:space="preserve">, por lo que </w:t>
      </w:r>
      <w:r w:rsidR="00873B3A" w:rsidRPr="00116261">
        <w:rPr>
          <w:rFonts w:ascii="Arial Narrow" w:hAnsi="Arial Narrow"/>
          <w:sz w:val="16"/>
          <w:szCs w:val="16"/>
          <w:lang w:val="es-ES"/>
        </w:rPr>
        <w:t>aparte</w:t>
      </w:r>
      <w:r w:rsidR="0084206C" w:rsidRPr="00116261">
        <w:rPr>
          <w:rFonts w:ascii="Arial Narrow" w:hAnsi="Arial Narrow"/>
          <w:sz w:val="16"/>
          <w:szCs w:val="16"/>
          <w:lang w:val="es-ES"/>
        </w:rPr>
        <w:t xml:space="preserve"> </w:t>
      </w:r>
      <w:r w:rsidR="005E6194" w:rsidRPr="00116261">
        <w:rPr>
          <w:rFonts w:ascii="Arial Narrow" w:hAnsi="Arial Narrow"/>
          <w:sz w:val="16"/>
          <w:szCs w:val="16"/>
          <w:lang w:val="es-ES"/>
        </w:rPr>
        <w:t xml:space="preserve">de garantizar la remisión de los informes aquí relacionados a las entidades, autoridades y/u órganos de control se </w:t>
      </w:r>
      <w:r w:rsidR="00873B3A" w:rsidRPr="00116261">
        <w:rPr>
          <w:rFonts w:ascii="Arial Narrow" w:hAnsi="Arial Narrow"/>
          <w:sz w:val="16"/>
          <w:szCs w:val="16"/>
          <w:lang w:val="es-ES"/>
        </w:rPr>
        <w:t>debe cumplir con lo estipulado por la norma citada anteriormente.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64451" w14:textId="255291E7" w:rsidR="00B622FE" w:rsidRDefault="009D259E">
    <w:pPr>
      <w:pStyle w:val="Encabezado"/>
    </w:pPr>
    <w:r>
      <w:rPr>
        <w:noProof/>
        <w:lang w:eastAsia="es-CO"/>
      </w:rPr>
      <w:drawing>
        <wp:anchor distT="0" distB="0" distL="114300" distR="114300" simplePos="0" relativeHeight="251661312" behindDoc="0" locked="0" layoutInCell="1" allowOverlap="1" wp14:anchorId="0D182867" wp14:editId="0CB6F986">
          <wp:simplePos x="0" y="0"/>
          <wp:positionH relativeFrom="margin">
            <wp:posOffset>9679259</wp:posOffset>
          </wp:positionH>
          <wp:positionV relativeFrom="paragraph">
            <wp:posOffset>-145585</wp:posOffset>
          </wp:positionV>
          <wp:extent cx="2124075" cy="493395"/>
          <wp:effectExtent l="0" t="0" r="9525" b="1905"/>
          <wp:wrapThrough wrapText="bothSides">
            <wp:wrapPolygon edited="0">
              <wp:start x="0" y="0"/>
              <wp:lineTo x="0" y="20849"/>
              <wp:lineTo x="21503" y="20849"/>
              <wp:lineTo x="21503" y="0"/>
              <wp:lineTo x="0" y="0"/>
            </wp:wrapPolygon>
          </wp:wrapThrough>
          <wp:docPr id="10" name="Imagen 10"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tipo&#10;&#10;Descripción generada automáticamente con confianza media"/>
                  <pic:cNvPicPr/>
                </pic:nvPicPr>
                <pic:blipFill rotWithShape="1">
                  <a:blip r:embed="rId1"/>
                  <a:srcRect r="13879"/>
                  <a:stretch/>
                </pic:blipFill>
                <pic:spPr bwMode="auto">
                  <a:xfrm>
                    <a:off x="0" y="0"/>
                    <a:ext cx="2124075" cy="4933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622FE" w:rsidRPr="006F0F3B">
      <w:rPr>
        <w:rFonts w:ascii="Arial Black" w:hAnsi="Arial Black" w:cs="Arial"/>
        <w:b/>
        <w:bCs/>
        <w:noProof/>
        <w:color w:val="171717" w:themeColor="background2" w:themeShade="1A"/>
        <w:sz w:val="88"/>
        <w:szCs w:val="88"/>
        <w:lang w:eastAsia="es-CO"/>
      </w:rPr>
      <mc:AlternateContent>
        <mc:Choice Requires="wpg">
          <w:drawing>
            <wp:anchor distT="0" distB="0" distL="114300" distR="114300" simplePos="0" relativeHeight="251659264" behindDoc="0" locked="0" layoutInCell="1" allowOverlap="1" wp14:anchorId="0C36013A" wp14:editId="76A61B21">
              <wp:simplePos x="0" y="0"/>
              <wp:positionH relativeFrom="column">
                <wp:posOffset>0</wp:posOffset>
              </wp:positionH>
              <wp:positionV relativeFrom="paragraph">
                <wp:posOffset>-635</wp:posOffset>
              </wp:positionV>
              <wp:extent cx="1029335" cy="45719"/>
              <wp:effectExtent l="0" t="0" r="12065" b="5715"/>
              <wp:wrapNone/>
              <wp:docPr id="207" name="Agrupar 207"/>
              <wp:cNvGraphicFramePr/>
              <a:graphic xmlns:a="http://schemas.openxmlformats.org/drawingml/2006/main">
                <a:graphicData uri="http://schemas.microsoft.com/office/word/2010/wordprocessingGroup">
                  <wpg:wgp>
                    <wpg:cNvGrpSpPr/>
                    <wpg:grpSpPr>
                      <a:xfrm>
                        <a:off x="0" y="0"/>
                        <a:ext cx="1029335" cy="45719"/>
                        <a:chOff x="0" y="0"/>
                        <a:chExt cx="7975600" cy="116840"/>
                      </a:xfrm>
                    </wpg:grpSpPr>
                    <wps:wsp>
                      <wps:cNvPr id="204" name="Rectángulo 204"/>
                      <wps:cNvSpPr/>
                      <wps:spPr>
                        <a:xfrm>
                          <a:off x="0" y="0"/>
                          <a:ext cx="2717800" cy="116840"/>
                        </a:xfrm>
                        <a:prstGeom prst="rect">
                          <a:avLst/>
                        </a:prstGeom>
                        <a:solidFill>
                          <a:srgbClr val="FFB6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ángulo 205"/>
                      <wps:cNvSpPr/>
                      <wps:spPr>
                        <a:xfrm>
                          <a:off x="2628900" y="0"/>
                          <a:ext cx="2717800" cy="116840"/>
                        </a:xfrm>
                        <a:prstGeom prst="rect">
                          <a:avLst/>
                        </a:prstGeom>
                        <a:solidFill>
                          <a:srgbClr val="004B9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Rectángulo 206"/>
                      <wps:cNvSpPr/>
                      <wps:spPr>
                        <a:xfrm>
                          <a:off x="5257800" y="0"/>
                          <a:ext cx="2717800" cy="116840"/>
                        </a:xfrm>
                        <a:prstGeom prst="rect">
                          <a:avLst/>
                        </a:prstGeom>
                        <a:solidFill>
                          <a:srgbClr val="FA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8271D4" id="Agrupar 207" o:spid="_x0000_s1026" style="position:absolute;margin-left:0;margin-top:-.05pt;width:81.05pt;height:3.6pt;z-index:251659264;mso-width-relative:margin;mso-height-relative:margin" coordsize="79756,1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">
              <v:rect id="Rectángulo 204" o:spid="_x0000_s1027" style="position:absolute;width:27178;height:1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" fillcolor="#ffb627" stroked="f" strokeweight="1pt"/>
              <v:rect id="Rectángulo 205" o:spid="_x0000_s1028" style="position:absolute;left:26289;width:27178;height:1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" fillcolor="#004b90" stroked="f" strokeweight="1pt"/>
              <v:rect id="Rectángulo 206" o:spid="_x0000_s1029" style="position:absolute;left:52578;width:27178;height:1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" fillcolor="#fa0000" stroked="f" strokeweight="1pt"/>
            </v:group>
          </w:pict>
        </mc:Fallback>
      </mc:AlternateContent>
    </w:r>
    <w:r w:rsidR="00B622FE">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C97973"/>
    <w:multiLevelType w:val="hybridMultilevel"/>
    <w:tmpl w:val="FA308DB4"/>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16cid:durableId="76900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87D"/>
    <w:rsid w:val="000037C1"/>
    <w:rsid w:val="000073D7"/>
    <w:rsid w:val="00010574"/>
    <w:rsid w:val="00013DC5"/>
    <w:rsid w:val="000175AF"/>
    <w:rsid w:val="00017EC6"/>
    <w:rsid w:val="00052C0E"/>
    <w:rsid w:val="00064B57"/>
    <w:rsid w:val="00094E16"/>
    <w:rsid w:val="000A577C"/>
    <w:rsid w:val="000A7097"/>
    <w:rsid w:val="000B0C4C"/>
    <w:rsid w:val="000D281C"/>
    <w:rsid w:val="000E0231"/>
    <w:rsid w:val="000F6154"/>
    <w:rsid w:val="00100807"/>
    <w:rsid w:val="0011509E"/>
    <w:rsid w:val="00116261"/>
    <w:rsid w:val="0013187D"/>
    <w:rsid w:val="00131B5A"/>
    <w:rsid w:val="0013469A"/>
    <w:rsid w:val="00147AAB"/>
    <w:rsid w:val="0016440D"/>
    <w:rsid w:val="0016740E"/>
    <w:rsid w:val="00185DF0"/>
    <w:rsid w:val="001A7CBD"/>
    <w:rsid w:val="001B3B1D"/>
    <w:rsid w:val="001C35C2"/>
    <w:rsid w:val="001C49B9"/>
    <w:rsid w:val="001D4E50"/>
    <w:rsid w:val="00207B4A"/>
    <w:rsid w:val="002239A2"/>
    <w:rsid w:val="00224B1B"/>
    <w:rsid w:val="002372EC"/>
    <w:rsid w:val="002706CD"/>
    <w:rsid w:val="002730ED"/>
    <w:rsid w:val="00273C78"/>
    <w:rsid w:val="00273D46"/>
    <w:rsid w:val="00276A67"/>
    <w:rsid w:val="00280280"/>
    <w:rsid w:val="0028311A"/>
    <w:rsid w:val="00283FB5"/>
    <w:rsid w:val="002867C8"/>
    <w:rsid w:val="002D0A7A"/>
    <w:rsid w:val="002E6923"/>
    <w:rsid w:val="00330CD8"/>
    <w:rsid w:val="00333F27"/>
    <w:rsid w:val="00351F30"/>
    <w:rsid w:val="00354D5B"/>
    <w:rsid w:val="00391256"/>
    <w:rsid w:val="003A1197"/>
    <w:rsid w:val="003A7C66"/>
    <w:rsid w:val="003B2224"/>
    <w:rsid w:val="003B34FC"/>
    <w:rsid w:val="003C3F2B"/>
    <w:rsid w:val="003D7B43"/>
    <w:rsid w:val="00404BBF"/>
    <w:rsid w:val="00410312"/>
    <w:rsid w:val="0043026C"/>
    <w:rsid w:val="00431CCD"/>
    <w:rsid w:val="00437019"/>
    <w:rsid w:val="0044074B"/>
    <w:rsid w:val="004433F2"/>
    <w:rsid w:val="004567CF"/>
    <w:rsid w:val="0048279E"/>
    <w:rsid w:val="00485ECB"/>
    <w:rsid w:val="00492279"/>
    <w:rsid w:val="00493A88"/>
    <w:rsid w:val="00493B6E"/>
    <w:rsid w:val="00495292"/>
    <w:rsid w:val="004A185B"/>
    <w:rsid w:val="004A4E40"/>
    <w:rsid w:val="004A70BA"/>
    <w:rsid w:val="004C38B5"/>
    <w:rsid w:val="004D59B4"/>
    <w:rsid w:val="004E6D8B"/>
    <w:rsid w:val="004F44CE"/>
    <w:rsid w:val="00510353"/>
    <w:rsid w:val="00512BD9"/>
    <w:rsid w:val="00515E6C"/>
    <w:rsid w:val="005204C4"/>
    <w:rsid w:val="005221AD"/>
    <w:rsid w:val="00531B35"/>
    <w:rsid w:val="005351D6"/>
    <w:rsid w:val="00547CB5"/>
    <w:rsid w:val="00555DB1"/>
    <w:rsid w:val="00561F1D"/>
    <w:rsid w:val="00565F4E"/>
    <w:rsid w:val="00571E91"/>
    <w:rsid w:val="00572DC8"/>
    <w:rsid w:val="005A3EC1"/>
    <w:rsid w:val="005B2F9E"/>
    <w:rsid w:val="005C1BA8"/>
    <w:rsid w:val="005C2266"/>
    <w:rsid w:val="005D63A3"/>
    <w:rsid w:val="005E6194"/>
    <w:rsid w:val="005E777F"/>
    <w:rsid w:val="005F06C6"/>
    <w:rsid w:val="006025B1"/>
    <w:rsid w:val="00605867"/>
    <w:rsid w:val="00606B98"/>
    <w:rsid w:val="00622D49"/>
    <w:rsid w:val="00623640"/>
    <w:rsid w:val="00624F53"/>
    <w:rsid w:val="00632D4A"/>
    <w:rsid w:val="00634031"/>
    <w:rsid w:val="00637C67"/>
    <w:rsid w:val="006472D0"/>
    <w:rsid w:val="00650524"/>
    <w:rsid w:val="00657ABE"/>
    <w:rsid w:val="00660D54"/>
    <w:rsid w:val="0066344A"/>
    <w:rsid w:val="00663F16"/>
    <w:rsid w:val="006858CA"/>
    <w:rsid w:val="00690E03"/>
    <w:rsid w:val="00693E0D"/>
    <w:rsid w:val="00696937"/>
    <w:rsid w:val="006A398C"/>
    <w:rsid w:val="006A7D70"/>
    <w:rsid w:val="006C2453"/>
    <w:rsid w:val="006D0810"/>
    <w:rsid w:val="006D2E86"/>
    <w:rsid w:val="006D4B0D"/>
    <w:rsid w:val="006E4518"/>
    <w:rsid w:val="006F768F"/>
    <w:rsid w:val="0070494B"/>
    <w:rsid w:val="00714EF6"/>
    <w:rsid w:val="007253B2"/>
    <w:rsid w:val="007333C6"/>
    <w:rsid w:val="0073647F"/>
    <w:rsid w:val="007404CA"/>
    <w:rsid w:val="00741FD8"/>
    <w:rsid w:val="0075734E"/>
    <w:rsid w:val="0076295A"/>
    <w:rsid w:val="0076537B"/>
    <w:rsid w:val="0076594C"/>
    <w:rsid w:val="007663FD"/>
    <w:rsid w:val="0077520F"/>
    <w:rsid w:val="00785A72"/>
    <w:rsid w:val="007A5342"/>
    <w:rsid w:val="007B0BD5"/>
    <w:rsid w:val="007B4E84"/>
    <w:rsid w:val="007B5037"/>
    <w:rsid w:val="007B6B2C"/>
    <w:rsid w:val="007C2F8F"/>
    <w:rsid w:val="007D728A"/>
    <w:rsid w:val="007D7A63"/>
    <w:rsid w:val="007E180B"/>
    <w:rsid w:val="007E5BD4"/>
    <w:rsid w:val="007F24CF"/>
    <w:rsid w:val="0080060D"/>
    <w:rsid w:val="00806855"/>
    <w:rsid w:val="00810BF9"/>
    <w:rsid w:val="00811D29"/>
    <w:rsid w:val="0081559F"/>
    <w:rsid w:val="00822F21"/>
    <w:rsid w:val="00823E03"/>
    <w:rsid w:val="0083587D"/>
    <w:rsid w:val="0084206C"/>
    <w:rsid w:val="00864AD5"/>
    <w:rsid w:val="00873B3A"/>
    <w:rsid w:val="0089125C"/>
    <w:rsid w:val="00894655"/>
    <w:rsid w:val="008946FA"/>
    <w:rsid w:val="00897222"/>
    <w:rsid w:val="008A24CF"/>
    <w:rsid w:val="008A4B24"/>
    <w:rsid w:val="008C4B1F"/>
    <w:rsid w:val="0090485B"/>
    <w:rsid w:val="00910248"/>
    <w:rsid w:val="00924B65"/>
    <w:rsid w:val="009274D3"/>
    <w:rsid w:val="00930A0F"/>
    <w:rsid w:val="0093610D"/>
    <w:rsid w:val="0093699E"/>
    <w:rsid w:val="009538BA"/>
    <w:rsid w:val="00960E94"/>
    <w:rsid w:val="00962E6C"/>
    <w:rsid w:val="0097568E"/>
    <w:rsid w:val="00981140"/>
    <w:rsid w:val="009832D6"/>
    <w:rsid w:val="00994CF6"/>
    <w:rsid w:val="009A0E89"/>
    <w:rsid w:val="009A303A"/>
    <w:rsid w:val="009B5DD8"/>
    <w:rsid w:val="009B7676"/>
    <w:rsid w:val="009C6D1F"/>
    <w:rsid w:val="009D259E"/>
    <w:rsid w:val="009F075E"/>
    <w:rsid w:val="009F1962"/>
    <w:rsid w:val="009F3159"/>
    <w:rsid w:val="009F4537"/>
    <w:rsid w:val="009F4927"/>
    <w:rsid w:val="00A06202"/>
    <w:rsid w:val="00A12A72"/>
    <w:rsid w:val="00A150C2"/>
    <w:rsid w:val="00A16555"/>
    <w:rsid w:val="00A22ED3"/>
    <w:rsid w:val="00A34CF8"/>
    <w:rsid w:val="00A37C07"/>
    <w:rsid w:val="00A44B9E"/>
    <w:rsid w:val="00A629FD"/>
    <w:rsid w:val="00A65DFF"/>
    <w:rsid w:val="00A66A82"/>
    <w:rsid w:val="00A72BB2"/>
    <w:rsid w:val="00A93418"/>
    <w:rsid w:val="00AC31F5"/>
    <w:rsid w:val="00AD2F40"/>
    <w:rsid w:val="00AD4036"/>
    <w:rsid w:val="00AD47D1"/>
    <w:rsid w:val="00AF5BAD"/>
    <w:rsid w:val="00B06FF1"/>
    <w:rsid w:val="00B22112"/>
    <w:rsid w:val="00B22A3B"/>
    <w:rsid w:val="00B25209"/>
    <w:rsid w:val="00B3221B"/>
    <w:rsid w:val="00B33B65"/>
    <w:rsid w:val="00B43F26"/>
    <w:rsid w:val="00B45660"/>
    <w:rsid w:val="00B47665"/>
    <w:rsid w:val="00B50311"/>
    <w:rsid w:val="00B524E5"/>
    <w:rsid w:val="00B60758"/>
    <w:rsid w:val="00B622FE"/>
    <w:rsid w:val="00B707AC"/>
    <w:rsid w:val="00B97827"/>
    <w:rsid w:val="00BA17DA"/>
    <w:rsid w:val="00BA3D7B"/>
    <w:rsid w:val="00BB1B32"/>
    <w:rsid w:val="00BB4C8B"/>
    <w:rsid w:val="00BB693F"/>
    <w:rsid w:val="00BF02C4"/>
    <w:rsid w:val="00C21029"/>
    <w:rsid w:val="00C2455C"/>
    <w:rsid w:val="00C26378"/>
    <w:rsid w:val="00C35353"/>
    <w:rsid w:val="00C44754"/>
    <w:rsid w:val="00C50685"/>
    <w:rsid w:val="00C5698E"/>
    <w:rsid w:val="00C6207E"/>
    <w:rsid w:val="00C65057"/>
    <w:rsid w:val="00C659BA"/>
    <w:rsid w:val="00C71A79"/>
    <w:rsid w:val="00C71AEA"/>
    <w:rsid w:val="00C732F0"/>
    <w:rsid w:val="00C839DF"/>
    <w:rsid w:val="00C84275"/>
    <w:rsid w:val="00C9444F"/>
    <w:rsid w:val="00CB15BA"/>
    <w:rsid w:val="00CC333E"/>
    <w:rsid w:val="00CD7B82"/>
    <w:rsid w:val="00CE0682"/>
    <w:rsid w:val="00CF7DFA"/>
    <w:rsid w:val="00D01244"/>
    <w:rsid w:val="00D01E8A"/>
    <w:rsid w:val="00D06DD8"/>
    <w:rsid w:val="00D11682"/>
    <w:rsid w:val="00D17B08"/>
    <w:rsid w:val="00D23240"/>
    <w:rsid w:val="00D34316"/>
    <w:rsid w:val="00D34AC8"/>
    <w:rsid w:val="00D65C97"/>
    <w:rsid w:val="00D67DEC"/>
    <w:rsid w:val="00D771FD"/>
    <w:rsid w:val="00DA3A62"/>
    <w:rsid w:val="00DA667A"/>
    <w:rsid w:val="00DB511F"/>
    <w:rsid w:val="00DD116B"/>
    <w:rsid w:val="00DE5D74"/>
    <w:rsid w:val="00E14879"/>
    <w:rsid w:val="00E17709"/>
    <w:rsid w:val="00E31CF0"/>
    <w:rsid w:val="00E7608E"/>
    <w:rsid w:val="00E8468C"/>
    <w:rsid w:val="00E94FFD"/>
    <w:rsid w:val="00E97B54"/>
    <w:rsid w:val="00EA2024"/>
    <w:rsid w:val="00EA2C5E"/>
    <w:rsid w:val="00EC1360"/>
    <w:rsid w:val="00ED0BF5"/>
    <w:rsid w:val="00ED4FA8"/>
    <w:rsid w:val="00ED5D2D"/>
    <w:rsid w:val="00EE28FC"/>
    <w:rsid w:val="00EF2D58"/>
    <w:rsid w:val="00EF6818"/>
    <w:rsid w:val="00F046BA"/>
    <w:rsid w:val="00F05416"/>
    <w:rsid w:val="00F05513"/>
    <w:rsid w:val="00F05FB8"/>
    <w:rsid w:val="00F14A34"/>
    <w:rsid w:val="00F15B42"/>
    <w:rsid w:val="00F20934"/>
    <w:rsid w:val="00F20C39"/>
    <w:rsid w:val="00F26DBB"/>
    <w:rsid w:val="00F2703D"/>
    <w:rsid w:val="00F3131E"/>
    <w:rsid w:val="00F420DB"/>
    <w:rsid w:val="00F475E6"/>
    <w:rsid w:val="00F74456"/>
    <w:rsid w:val="00F77A9A"/>
    <w:rsid w:val="00F86588"/>
    <w:rsid w:val="00F945EC"/>
    <w:rsid w:val="00FA64EB"/>
    <w:rsid w:val="00FD19AE"/>
    <w:rsid w:val="00FE40AA"/>
    <w:rsid w:val="00FF1C41"/>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5B373"/>
  <w15:chartTrackingRefBased/>
  <w15:docId w15:val="{83C9C303-488B-4E2B-B907-CABC0CD7A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87D"/>
    <w:pPr>
      <w:spacing w:after="0" w:line="240" w:lineRule="auto"/>
    </w:pPr>
    <w:rPr>
      <w:rFonts w:ascii="Times" w:eastAsia="Times" w:hAnsi="Times" w:cs="Times New Roman"/>
      <w:sz w:val="24"/>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13187D"/>
    <w:rPr>
      <w:color w:val="0000FF"/>
      <w:u w:val="single"/>
    </w:rPr>
  </w:style>
  <w:style w:type="paragraph" w:styleId="Prrafodelista">
    <w:name w:val="List Paragraph"/>
    <w:aliases w:val="Bullets,Normal. Viñetas,Bullet Number,List Paragraph1,lp1,lp11,List Paragraph11,Bullet 1,Use Case List Paragraph,Num Bullet 1,Bullet List,FooterText,titulo 3,Liste 1,References,Bolita,BOLA,BOLADEF,Antes de enumeración,Párrafo de lista2"/>
    <w:basedOn w:val="Normal"/>
    <w:link w:val="PrrafodelistaCar"/>
    <w:uiPriority w:val="34"/>
    <w:qFormat/>
    <w:rsid w:val="0013187D"/>
    <w:pPr>
      <w:ind w:left="708"/>
    </w:pPr>
  </w:style>
  <w:style w:type="character" w:customStyle="1" w:styleId="PrrafodelistaCar">
    <w:name w:val="Párrafo de lista Car"/>
    <w:aliases w:val="Bullets Car,Normal. Viñetas Car,Bullet Number Car,List Paragraph1 Car,lp1 Car,lp11 Car,List Paragraph11 Car,Bullet 1 Car,Use Case List Paragraph Car,Num Bullet 1 Car,Bullet List Car,FooterText Car,titulo 3 Car,Liste 1 Car,Bolita Car"/>
    <w:link w:val="Prrafodelista"/>
    <w:uiPriority w:val="34"/>
    <w:locked/>
    <w:rsid w:val="0013187D"/>
    <w:rPr>
      <w:rFonts w:ascii="Times" w:eastAsia="Times" w:hAnsi="Times" w:cs="Times New Roman"/>
      <w:sz w:val="24"/>
      <w:szCs w:val="20"/>
      <w:lang w:val="es-CO" w:eastAsia="es-ES"/>
    </w:rPr>
  </w:style>
  <w:style w:type="character" w:customStyle="1" w:styleId="Mencinsinresolver1">
    <w:name w:val="Mención sin resolver1"/>
    <w:basedOn w:val="Fuentedeprrafopredeter"/>
    <w:uiPriority w:val="99"/>
    <w:semiHidden/>
    <w:unhideWhenUsed/>
    <w:rsid w:val="004C38B5"/>
    <w:rPr>
      <w:color w:val="605E5C"/>
      <w:shd w:val="clear" w:color="auto" w:fill="E1DFDD"/>
    </w:rPr>
  </w:style>
  <w:style w:type="character" w:styleId="Hipervnculovisitado">
    <w:name w:val="FollowedHyperlink"/>
    <w:basedOn w:val="Fuentedeprrafopredeter"/>
    <w:uiPriority w:val="99"/>
    <w:semiHidden/>
    <w:unhideWhenUsed/>
    <w:rsid w:val="00D34AC8"/>
    <w:rPr>
      <w:color w:val="954F72" w:themeColor="followedHyperlink"/>
      <w:u w:val="single"/>
    </w:rPr>
  </w:style>
  <w:style w:type="character" w:styleId="Refdecomentario">
    <w:name w:val="annotation reference"/>
    <w:basedOn w:val="Fuentedeprrafopredeter"/>
    <w:uiPriority w:val="99"/>
    <w:semiHidden/>
    <w:unhideWhenUsed/>
    <w:rsid w:val="00C71AEA"/>
    <w:rPr>
      <w:sz w:val="16"/>
      <w:szCs w:val="16"/>
    </w:rPr>
  </w:style>
  <w:style w:type="paragraph" w:styleId="Textocomentario">
    <w:name w:val="annotation text"/>
    <w:basedOn w:val="Normal"/>
    <w:link w:val="TextocomentarioCar"/>
    <w:uiPriority w:val="99"/>
    <w:semiHidden/>
    <w:unhideWhenUsed/>
    <w:rsid w:val="00C71AEA"/>
    <w:rPr>
      <w:sz w:val="20"/>
    </w:rPr>
  </w:style>
  <w:style w:type="character" w:customStyle="1" w:styleId="TextocomentarioCar">
    <w:name w:val="Texto comentario Car"/>
    <w:basedOn w:val="Fuentedeprrafopredeter"/>
    <w:link w:val="Textocomentario"/>
    <w:uiPriority w:val="99"/>
    <w:semiHidden/>
    <w:rsid w:val="00C71AEA"/>
    <w:rPr>
      <w:rFonts w:ascii="Times" w:eastAsia="Times" w:hAnsi="Times" w:cs="Times New Roman"/>
      <w:sz w:val="20"/>
      <w:szCs w:val="20"/>
      <w:lang w:val="es-CO" w:eastAsia="es-ES"/>
    </w:rPr>
  </w:style>
  <w:style w:type="paragraph" w:styleId="Asuntodelcomentario">
    <w:name w:val="annotation subject"/>
    <w:basedOn w:val="Textocomentario"/>
    <w:next w:val="Textocomentario"/>
    <w:link w:val="AsuntodelcomentarioCar"/>
    <w:uiPriority w:val="99"/>
    <w:semiHidden/>
    <w:unhideWhenUsed/>
    <w:rsid w:val="00C71AEA"/>
    <w:rPr>
      <w:b/>
      <w:bCs/>
    </w:rPr>
  </w:style>
  <w:style w:type="character" w:customStyle="1" w:styleId="AsuntodelcomentarioCar">
    <w:name w:val="Asunto del comentario Car"/>
    <w:basedOn w:val="TextocomentarioCar"/>
    <w:link w:val="Asuntodelcomentario"/>
    <w:uiPriority w:val="99"/>
    <w:semiHidden/>
    <w:rsid w:val="00C71AEA"/>
    <w:rPr>
      <w:rFonts w:ascii="Times" w:eastAsia="Times" w:hAnsi="Times" w:cs="Times New Roman"/>
      <w:b/>
      <w:bCs/>
      <w:sz w:val="20"/>
      <w:szCs w:val="20"/>
      <w:lang w:val="es-CO" w:eastAsia="es-ES"/>
    </w:rPr>
  </w:style>
  <w:style w:type="paragraph" w:styleId="Encabezado">
    <w:name w:val="header"/>
    <w:basedOn w:val="Normal"/>
    <w:link w:val="EncabezadoCar"/>
    <w:uiPriority w:val="99"/>
    <w:unhideWhenUsed/>
    <w:rsid w:val="00B622FE"/>
    <w:pPr>
      <w:tabs>
        <w:tab w:val="center" w:pos="4252"/>
        <w:tab w:val="right" w:pos="8504"/>
      </w:tabs>
    </w:pPr>
  </w:style>
  <w:style w:type="character" w:customStyle="1" w:styleId="EncabezadoCar">
    <w:name w:val="Encabezado Car"/>
    <w:basedOn w:val="Fuentedeprrafopredeter"/>
    <w:link w:val="Encabezado"/>
    <w:uiPriority w:val="99"/>
    <w:rsid w:val="00B622FE"/>
    <w:rPr>
      <w:rFonts w:ascii="Times" w:eastAsia="Times" w:hAnsi="Times" w:cs="Times New Roman"/>
      <w:sz w:val="24"/>
      <w:szCs w:val="20"/>
      <w:lang w:val="es-CO" w:eastAsia="es-ES"/>
    </w:rPr>
  </w:style>
  <w:style w:type="paragraph" w:styleId="Piedepgina">
    <w:name w:val="footer"/>
    <w:basedOn w:val="Normal"/>
    <w:link w:val="PiedepginaCar"/>
    <w:uiPriority w:val="99"/>
    <w:unhideWhenUsed/>
    <w:rsid w:val="00B622FE"/>
    <w:pPr>
      <w:tabs>
        <w:tab w:val="center" w:pos="4252"/>
        <w:tab w:val="right" w:pos="8504"/>
      </w:tabs>
    </w:pPr>
  </w:style>
  <w:style w:type="character" w:customStyle="1" w:styleId="PiedepginaCar">
    <w:name w:val="Pie de página Car"/>
    <w:basedOn w:val="Fuentedeprrafopredeter"/>
    <w:link w:val="Piedepgina"/>
    <w:uiPriority w:val="99"/>
    <w:rsid w:val="00B622FE"/>
    <w:rPr>
      <w:rFonts w:ascii="Times" w:eastAsia="Times" w:hAnsi="Times" w:cs="Times New Roman"/>
      <w:sz w:val="24"/>
      <w:szCs w:val="20"/>
      <w:lang w:val="es-CO" w:eastAsia="es-ES"/>
    </w:rPr>
  </w:style>
  <w:style w:type="table" w:styleId="Tabladelista2">
    <w:name w:val="List Table 2"/>
    <w:basedOn w:val="Tablanormal"/>
    <w:uiPriority w:val="47"/>
    <w:rsid w:val="00BB1B3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notapie">
    <w:name w:val="footnote text"/>
    <w:basedOn w:val="Normal"/>
    <w:link w:val="TextonotapieCar"/>
    <w:uiPriority w:val="99"/>
    <w:semiHidden/>
    <w:unhideWhenUsed/>
    <w:rsid w:val="006F768F"/>
    <w:rPr>
      <w:sz w:val="20"/>
    </w:rPr>
  </w:style>
  <w:style w:type="character" w:customStyle="1" w:styleId="TextonotapieCar">
    <w:name w:val="Texto nota pie Car"/>
    <w:basedOn w:val="Fuentedeprrafopredeter"/>
    <w:link w:val="Textonotapie"/>
    <w:uiPriority w:val="99"/>
    <w:semiHidden/>
    <w:rsid w:val="006F768F"/>
    <w:rPr>
      <w:rFonts w:ascii="Times" w:eastAsia="Times" w:hAnsi="Times" w:cs="Times New Roman"/>
      <w:sz w:val="20"/>
      <w:szCs w:val="20"/>
      <w:lang w:val="es-CO" w:eastAsia="es-ES"/>
    </w:rPr>
  </w:style>
  <w:style w:type="character" w:styleId="Refdenotaalpie">
    <w:name w:val="footnote reference"/>
    <w:basedOn w:val="Fuentedeprrafopredeter"/>
    <w:uiPriority w:val="99"/>
    <w:semiHidden/>
    <w:unhideWhenUsed/>
    <w:rsid w:val="006F768F"/>
    <w:rPr>
      <w:vertAlign w:val="superscript"/>
    </w:rPr>
  </w:style>
  <w:style w:type="paragraph" w:styleId="Textodeglobo">
    <w:name w:val="Balloon Text"/>
    <w:basedOn w:val="Normal"/>
    <w:link w:val="TextodegloboCar"/>
    <w:uiPriority w:val="99"/>
    <w:semiHidden/>
    <w:unhideWhenUsed/>
    <w:rsid w:val="00660D5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60D54"/>
    <w:rPr>
      <w:rFonts w:ascii="Segoe UI" w:eastAsia="Times" w:hAnsi="Segoe UI" w:cs="Segoe UI"/>
      <w:sz w:val="18"/>
      <w:szCs w:val="18"/>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198664">
      <w:bodyDiv w:val="1"/>
      <w:marLeft w:val="0"/>
      <w:marRight w:val="0"/>
      <w:marTop w:val="0"/>
      <w:marBottom w:val="0"/>
      <w:divBdr>
        <w:top w:val="none" w:sz="0" w:space="0" w:color="auto"/>
        <w:left w:val="none" w:sz="0" w:space="0" w:color="auto"/>
        <w:bottom w:val="none" w:sz="0" w:space="0" w:color="auto"/>
        <w:right w:val="none" w:sz="0" w:space="0" w:color="auto"/>
      </w:divBdr>
    </w:div>
    <w:div w:id="147259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lcaldiabogota.gov.co/sisjur/normas/Norma1.jsp?i=154142" TargetMode="External"/><Relationship Id="rId18" Type="http://schemas.openxmlformats.org/officeDocument/2006/relationships/hyperlink" Target="http://www.secretariasenado.gov.co/senado/basedoc/ley_0087_1993.html" TargetMode="External"/><Relationship Id="rId26" Type="http://schemas.openxmlformats.org/officeDocument/2006/relationships/hyperlink" Target="http://www.secretariasenado.gov.co/senado/basedoc/ley_2195_2022.html" TargetMode="External"/><Relationship Id="rId39" Type="http://schemas.openxmlformats.org/officeDocument/2006/relationships/hyperlink" Target="https://www.funcionpublica.gov.co/eva/gestornormativo/norma.php?i=90685" TargetMode="External"/><Relationship Id="rId21" Type="http://schemas.openxmlformats.org/officeDocument/2006/relationships/hyperlink" Target="http://www.secretariasenado.gov.co/senado/basedoc/decreto_0019_2012_pr005.html" TargetMode="External"/><Relationship Id="rId34" Type="http://schemas.openxmlformats.org/officeDocument/2006/relationships/hyperlink" Target="https://www.suin-juriscol.gov.co/viewDocument.asp?id=30019934" TargetMode="External"/><Relationship Id="rId42" Type="http://schemas.openxmlformats.org/officeDocument/2006/relationships/hyperlink" Target="https://ekogui.defensajuridica.gov.co/sitios/ekogui/Documents/circular_externa_03_12_julio_2021_130721.pdf" TargetMode="External"/><Relationship Id="rId47" Type="http://schemas.openxmlformats.org/officeDocument/2006/relationships/hyperlink" Target="https://www.funcionpublica.gov.co/eva/gestornormativo/norma.php?i=193863" TargetMode="External"/><Relationship Id="rId50" Type="http://schemas.openxmlformats.org/officeDocument/2006/relationships/hyperlink" Target="https://www.suin-juriscol.gov.co/viewDocument.asp?id=30038092"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ecretariasenado.gov.co/senado/basedoc/decreto_2106_2019_pr003.html" TargetMode="External"/><Relationship Id="rId29" Type="http://schemas.openxmlformats.org/officeDocument/2006/relationships/hyperlink" Target="https://www.google.com/url?sa=t&amp;rct=j&amp;q=&amp;esrc=s&amp;source=web&amp;cd=&amp;ved=2ahUKEwiP9JSQqtH7AhWKQzABHWFPDR8QFnoECBAQAw&amp;url=https%3A%2F%2Fwww.funcionpublica.gov.co%2Feva%2Fgestornormativo%2Fnorma.php%3Fi%3D4813&amp;usg=AOvVaw3rnGlh88J0w0E_YZKWaJ8B" TargetMode="External"/><Relationship Id="rId11" Type="http://schemas.openxmlformats.org/officeDocument/2006/relationships/hyperlink" Target="http://www.secretariasenado.gov.co/senado/basedoc/ley_2020_2020.html" TargetMode="External"/><Relationship Id="rId24" Type="http://schemas.openxmlformats.org/officeDocument/2006/relationships/hyperlink" Target="http://www.secretariasenado.gov.co/senado/basedoc/ley_1474_2011_pr001.html" TargetMode="External"/><Relationship Id="rId32" Type="http://schemas.openxmlformats.org/officeDocument/2006/relationships/hyperlink" Target="https://www.derechodeautor.gov.co/sites/default/files/2024-03/Circular%2027%20de%202023.pdf" TargetMode="External"/><Relationship Id="rId37" Type="http://schemas.openxmlformats.org/officeDocument/2006/relationships/hyperlink" Target="https://www.funcionpublica.gov.co/eva/gestornormativo/norma.php?i=14861" TargetMode="External"/><Relationship Id="rId40" Type="http://schemas.openxmlformats.org/officeDocument/2006/relationships/hyperlink" Target="https://www.suin-juriscol.gov.co/viewDocument.asp?id=30019870" TargetMode="External"/><Relationship Id="rId45" Type="http://schemas.openxmlformats.org/officeDocument/2006/relationships/hyperlink" Target="https://www.funcionpublica.gov.co/eva/gestornormativo/norma.php?i=14861" TargetMode="External"/><Relationship Id="rId53"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lcaldiabogota.gov.co/sisjur/normas/Norma1.jsp?i=154142" TargetMode="External"/><Relationship Id="rId19" Type="http://schemas.openxmlformats.org/officeDocument/2006/relationships/hyperlink" Target="http://www.secretariasenado.gov.co/senado/basedoc/decreto_2106_2019_pr003.html" TargetMode="External"/><Relationship Id="rId31" Type="http://schemas.openxmlformats.org/officeDocument/2006/relationships/hyperlink" Target="http://derechodeautor.gov.co:8080/documents/10181/287765/Circular+17+de+2011/3e6df29e-fef6-45ac-aa83-65423db86a62" TargetMode="External"/><Relationship Id="rId44" Type="http://schemas.openxmlformats.org/officeDocument/2006/relationships/hyperlink" Target="https://www.suin-juriscol.gov.co/viewDocument.asp?ruta=Decretos/30019721" TargetMode="External"/><Relationship Id="rId52" Type="http://schemas.openxmlformats.org/officeDocument/2006/relationships/hyperlink" Target="https://relatoria.blob.core.windows.net/$web/files/resoluciones/REG-ORG-0062-2023.PDF" TargetMode="External"/><Relationship Id="rId4" Type="http://schemas.openxmlformats.org/officeDocument/2006/relationships/settings" Target="settings.xml"/><Relationship Id="rId9" Type="http://schemas.openxmlformats.org/officeDocument/2006/relationships/hyperlink" Target="https://www.alcaldiabogota.gov.co/sisjur/normas/Norma1.jsp?i=154142" TargetMode="External"/><Relationship Id="rId14" Type="http://schemas.openxmlformats.org/officeDocument/2006/relationships/hyperlink" Target="https://www.suin-juriscol.gov.co/viewDocument.asp?ruta=Decretos/30019891" TargetMode="External"/><Relationship Id="rId22" Type="http://schemas.openxmlformats.org/officeDocument/2006/relationships/hyperlink" Target="http://www.secretariasenado.gov.co/senado/basedoc/decreto_2106_2019_pr003.html" TargetMode="External"/><Relationship Id="rId27" Type="http://schemas.openxmlformats.org/officeDocument/2006/relationships/hyperlink" Target="https://dapre.presidencia.gov.co/normativa/normativa/DECRETO%201122%20DE%2030%20DE%20AGOSTO%20DE%202024.pdf" TargetMode="External"/><Relationship Id="rId30" Type="http://schemas.openxmlformats.org/officeDocument/2006/relationships/hyperlink" Target="https://www.google.com/url?sa=t&amp;rct=j&amp;q=&amp;esrc=s&amp;source=web&amp;cd=&amp;cad=rja&amp;uact=8&amp;ved=2ahUKEwiN7sbSqdH7AhV1VTABHYBtDiAQFnoECAwQAQ&amp;url=https%3A%2F%2Fwww.emcali.com.co%2Fdocuments%2F148832%2F149089%2F01.Circular%2B04%2Bde%2B%2B2006.pdf%2F4b7a8358-280f-fa3e-d4a0-1b78246a783b%3Fversion%3D1.0%26download%3Dtrue&amp;usg=AOvVaw2u3GBDePS6_4-q5ZMOAwen" TargetMode="External"/><Relationship Id="rId35" Type="http://schemas.openxmlformats.org/officeDocument/2006/relationships/hyperlink" Target="https://www.funcionpublica.gov.co/eva/gestornormativo/norma.php?i=47466" TargetMode="External"/><Relationship Id="rId43" Type="http://schemas.openxmlformats.org/officeDocument/2006/relationships/hyperlink" Target="https://ekogui.defensajuridica.gov.co/Pages/NEW/docs/guia_control_interno_20012025.pdf" TargetMode="External"/><Relationship Id="rId48" Type="http://schemas.openxmlformats.org/officeDocument/2006/relationships/hyperlink" Target="https://www.suin-juriscol.gov.co/viewDocument.asp?ruta=Leyes/30038690" TargetMode="External"/><Relationship Id="rId56" Type="http://schemas.openxmlformats.org/officeDocument/2006/relationships/theme" Target="theme/theme1.xml"/><Relationship Id="rId8" Type="http://schemas.openxmlformats.org/officeDocument/2006/relationships/hyperlink" Target="https://www.alcaldiabogota.gov.co/sisjur/normas/Norma1.jsp?i=154142" TargetMode="External"/><Relationship Id="rId51" Type="http://schemas.openxmlformats.org/officeDocument/2006/relationships/hyperlink" Target="http://www.secretariasenado.gov.co/senado/basedoc/decreto_0403_2020.html" TargetMode="External"/><Relationship Id="rId3" Type="http://schemas.openxmlformats.org/officeDocument/2006/relationships/styles" Target="styles.xml"/><Relationship Id="rId12" Type="http://schemas.openxmlformats.org/officeDocument/2006/relationships/hyperlink" Target="https://www.alcaldiabogota.gov.co/sisjur/normas/Norma1.jsp?i=154142" TargetMode="External"/><Relationship Id="rId17" Type="http://schemas.openxmlformats.org/officeDocument/2006/relationships/hyperlink" Target="https://www.funcionpublica.gov.co/documents/418537/616038/Circular+externa+100+-+006+de+2019.pdf/2396fc26-d99d-9783-d89f-8ab47290b828?t=1577107939591" TargetMode="External"/><Relationship Id="rId25" Type="http://schemas.openxmlformats.org/officeDocument/2006/relationships/hyperlink" Target="http://www.secretariasenado.gov.co/senado/basedoc/ley_1474_2011_pr001.html" TargetMode="External"/><Relationship Id="rId33" Type="http://schemas.openxmlformats.org/officeDocument/2006/relationships/hyperlink" Target="http://www.derechodeautor.gov.co/" TargetMode="External"/><Relationship Id="rId38" Type="http://schemas.openxmlformats.org/officeDocument/2006/relationships/hyperlink" Target="https://www.funcionpublica.gov.co/eva/gestornormativo/norma.php?i=81753" TargetMode="External"/><Relationship Id="rId46" Type="http://schemas.openxmlformats.org/officeDocument/2006/relationships/hyperlink" Target="https://www.suin-juriscol.gov.co/viewDocument.asp?ruta=Decretos/30019891" TargetMode="External"/><Relationship Id="rId20" Type="http://schemas.openxmlformats.org/officeDocument/2006/relationships/hyperlink" Target="http://www.secretariasenado.gov.co/senado/basedoc/ley_1474_2011.html" TargetMode="External"/><Relationship Id="rId41" Type="http://schemas.openxmlformats.org/officeDocument/2006/relationships/hyperlink" Target="https://ekogui.defensajuridica.gov.co/sitios/ekogui/Documents/circular_externa_03_12_julio_2021_130721.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ecretariasenado.gov.co/senado/basedoc/ley_1474_2011.html" TargetMode="External"/><Relationship Id="rId23" Type="http://schemas.openxmlformats.org/officeDocument/2006/relationships/hyperlink" Target="https://www.funcionpublica.gov.co/eva/gestornormativo/norma.php?i=90730" TargetMode="External"/><Relationship Id="rId28" Type="http://schemas.openxmlformats.org/officeDocument/2006/relationships/hyperlink" Target="https://www.alcaldiabogota.gov.co/sisjur/normas/Norma1.jsp?i=186633" TargetMode="External"/><Relationship Id="rId36" Type="http://schemas.openxmlformats.org/officeDocument/2006/relationships/hyperlink" Target="https://www.funcionpublica.gov.co/eva/gestornormativo/norma.php?i=194885" TargetMode="External"/><Relationship Id="rId49" Type="http://schemas.openxmlformats.org/officeDocument/2006/relationships/hyperlink" Target="https://www.contaduria.gov.co/documents/20127/38135/INSTRUCTIVO+No.+001+DE+2021+-+CIERRE+2020+COMENTARIOS+-+Ajustado+-+ALR+con+cambios+aceptados+%283%29+definitivo+MMHC+dic+24-2021.pdf/77251a4d-8dda-5d33-b1ee-cf6d47c48ca5"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eva@funcionpublica.gov.co" TargetMode="External"/><Relationship Id="rId1" Type="http://schemas.openxmlformats.org/officeDocument/2006/relationships/hyperlink" Target="http://www.funcionpubli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C1E54-4B1A-4436-B1A1-5B2CCB785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1437</TotalTime>
  <Pages>8</Pages>
  <Words>4328</Words>
  <Characters>23805</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Departamento Administrativo de la Función Pública</Company>
  <LinksUpToDate>false</LinksUpToDate>
  <CharactersWithSpaces>28077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Arturo Márquez Rincón</dc:creator>
  <cp:keywords/>
  <dc:description/>
  <cp:lastModifiedBy>IVAN ARTURO MARQUEZ RINCON</cp:lastModifiedBy>
  <cp:revision>33</cp:revision>
  <dcterms:created xsi:type="dcterms:W3CDTF">2024-11-18T22:35:00Z</dcterms:created>
  <dcterms:modified xsi:type="dcterms:W3CDTF">2025-11-25T18:00:00Z</dcterms:modified>
</cp:coreProperties>
</file>